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C90" w:rsidRPr="001E1C90" w:rsidRDefault="001E1C90" w:rsidP="001E1C90">
      <w:pPr>
        <w:jc w:val="center"/>
        <w:rPr>
          <w:rFonts w:ascii="Times New Roman" w:eastAsia="Times New Roman" w:hAnsi="Times New Roman" w:cs="Times New Roman"/>
          <w:b/>
          <w:color w:val="024C8B"/>
          <w:sz w:val="24"/>
          <w:szCs w:val="24"/>
          <w:lang w:val="ru-RU" w:eastAsia="ru-RU" w:bidi="ar-SA"/>
        </w:rPr>
      </w:pPr>
      <w:r w:rsidRPr="001E1C90">
        <w:rPr>
          <w:rFonts w:ascii="Times New Roman" w:eastAsia="Times New Roman" w:hAnsi="Times New Roman" w:cs="Times New Roman"/>
          <w:b/>
          <w:color w:val="024C8B"/>
          <w:sz w:val="24"/>
          <w:szCs w:val="24"/>
          <w:lang w:val="ru-RU" w:eastAsia="ru-RU" w:bidi="ar-SA"/>
        </w:rPr>
        <w:t>Конвенция ООН о правах инвалидов</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i/>
          <w:iCs/>
          <w:color w:val="111111"/>
          <w:sz w:val="24"/>
          <w:szCs w:val="24"/>
          <w:lang w:val="ru-RU" w:eastAsia="ru-RU" w:bidi="ar-SA"/>
        </w:rPr>
        <w:t>«Доступность - это не только сооружение пандусов, специальных лифтов,</w:t>
      </w:r>
      <w:r w:rsidRPr="001E1C90">
        <w:rPr>
          <w:rFonts w:ascii="Times New Roman" w:eastAsia="Times New Roman" w:hAnsi="Times New Roman" w:cs="Times New Roman"/>
          <w:i/>
          <w:iCs/>
          <w:color w:val="111111"/>
          <w:sz w:val="24"/>
          <w:szCs w:val="24"/>
          <w:lang w:val="ru-RU" w:eastAsia="ru-RU" w:bidi="ar-SA"/>
        </w:rPr>
        <w:br/>
        <w:t>приспособление дорог и общественного транспорта.</w:t>
      </w:r>
      <w:r w:rsidRPr="001E1C90">
        <w:rPr>
          <w:rFonts w:ascii="Times New Roman" w:eastAsia="Times New Roman" w:hAnsi="Times New Roman" w:cs="Times New Roman"/>
          <w:i/>
          <w:iCs/>
          <w:color w:val="111111"/>
          <w:sz w:val="24"/>
          <w:szCs w:val="24"/>
          <w:lang w:val="ru-RU" w:eastAsia="ru-RU" w:bidi="ar-SA"/>
        </w:rPr>
        <w:br/>
        <w:t>Не меньшую роль призвана играть и настройка под нужды инвалидов</w:t>
      </w:r>
      <w:r w:rsidRPr="001E1C90">
        <w:rPr>
          <w:rFonts w:ascii="Times New Roman" w:eastAsia="Times New Roman" w:hAnsi="Times New Roman" w:cs="Times New Roman"/>
          <w:i/>
          <w:iCs/>
          <w:color w:val="111111"/>
          <w:sz w:val="24"/>
          <w:szCs w:val="24"/>
          <w:lang w:val="ru-RU" w:eastAsia="ru-RU" w:bidi="ar-SA"/>
        </w:rPr>
        <w:br/>
        <w:t>правил работы наших социальных, информационных и прочих служб»</w:t>
      </w:r>
      <w:r w:rsidRPr="001E1C90">
        <w:rPr>
          <w:rFonts w:ascii="Times New Roman" w:eastAsia="Times New Roman" w:hAnsi="Times New Roman" w:cs="Times New Roman"/>
          <w:color w:val="111111"/>
          <w:sz w:val="24"/>
          <w:szCs w:val="24"/>
          <w:lang w:val="ru-RU" w:eastAsia="ru-RU" w:bidi="ar-SA"/>
        </w:rPr>
        <w:br/>
        <w:t>Владимир Путин</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С 1 января 2016 г. вступают в силу основные положения Федерального закона от 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bookmarkStart w:id="0" w:name="_Toc424481427"/>
      <w:r w:rsidRPr="001E1C90">
        <w:rPr>
          <w:rFonts w:ascii="Times New Roman" w:eastAsia="Times New Roman" w:hAnsi="Times New Roman" w:cs="Times New Roman"/>
          <w:color w:val="024C8B"/>
          <w:sz w:val="24"/>
          <w:szCs w:val="24"/>
          <w:lang w:val="ru-RU" w:eastAsia="ru-RU" w:bidi="ar-SA"/>
        </w:rPr>
        <w:t>Конвенция ООН о правах инвалидов – основные положения, касающиеся обеспечения доступности для инвалидов объектов социальной инфраструктуры и услуг</w:t>
      </w:r>
      <w:bookmarkEnd w:id="0"/>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Основным международным документом, устанавливающим права инвалидов во всем мире, является Конвенция о правах инвалидов, принятая Генеральной Ассамблеей Организацией Объединенных Наций 13 декабря 2006г.</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Данная Конвенция после ратификации ее Российской Федерацией 25 сентября 2012 г. в соответствии со статьей 15 Конституции РФ стала частью российского законодательства.</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 статье 1 Конвенции установлено, что ее цель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Для достижения этой цели в статье 3 Конвенции закреплен ряд принципов, на которых базируются все ее остальные положения. К этим принципам, в частности, относятся: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полное и эффективное вовлечение и включение в общество;</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равенство возможностей;</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xml:space="preserve">- </w:t>
      </w:r>
      <w:proofErr w:type="spellStart"/>
      <w:r w:rsidRPr="001E1C90">
        <w:rPr>
          <w:rFonts w:ascii="Times New Roman" w:eastAsia="Times New Roman" w:hAnsi="Times New Roman" w:cs="Times New Roman"/>
          <w:color w:val="111111"/>
          <w:sz w:val="24"/>
          <w:szCs w:val="24"/>
          <w:lang w:val="ru-RU" w:eastAsia="ru-RU" w:bidi="ar-SA"/>
        </w:rPr>
        <w:t>недискриминация</w:t>
      </w:r>
      <w:proofErr w:type="spellEnd"/>
      <w:r w:rsidRPr="001E1C90">
        <w:rPr>
          <w:rFonts w:ascii="Times New Roman" w:eastAsia="Times New Roman" w:hAnsi="Times New Roman" w:cs="Times New Roman"/>
          <w:color w:val="111111"/>
          <w:sz w:val="24"/>
          <w:szCs w:val="24"/>
          <w:lang w:val="ru-RU" w:eastAsia="ru-RU" w:bidi="ar-SA"/>
        </w:rPr>
        <w:t>;</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доступность.</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Чтобы обеспечить полное вовлечение и включение инвалида в общество, необходимо предоставить ему равные с другими людьми возможности. Для этого инвалид не должен подвергаться дискриминации. Основным способом устранения дискриминации инвалидов является обеспечение доступности. Выявление и устранение препятствий и барьеров, мешающих доступности, должны распространяться, в частности: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на здания, дороги, транспорт и другие внутренние и внешние объекты, включая школы, жилые дома, медицинские учреждения и рабочие места;</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на информационные, коммуникационные и другие службы, включая электронные службы и экстренные службы.</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 тех случаях, когда инвалидам не обеспечивается доступность услуг и архитектурных объектов, происходит их дискриминация.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Доступность для инвалидов достигается с помощью разумного приспособления.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Во-первых,</w:t>
      </w:r>
      <w:r w:rsidRPr="001E1C90">
        <w:rPr>
          <w:rFonts w:ascii="Times New Roman" w:eastAsia="Times New Roman" w:hAnsi="Times New Roman" w:cs="Times New Roman"/>
          <w:color w:val="111111"/>
          <w:sz w:val="24"/>
          <w:szCs w:val="24"/>
          <w:lang w:val="ru-RU" w:eastAsia="ru-RU" w:bidi="ar-SA"/>
        </w:rPr>
        <w:t> обеспечивается доступность зданий и сооружений данной организации путем оборудования их пандусами, широкими дверными проемами, надписями шрифтом Брайля, и т.п.</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Во-вторых,</w:t>
      </w:r>
      <w:r w:rsidRPr="001E1C90">
        <w:rPr>
          <w:rFonts w:ascii="Times New Roman" w:eastAsia="Times New Roman" w:hAnsi="Times New Roman" w:cs="Times New Roman"/>
          <w:color w:val="111111"/>
          <w:sz w:val="24"/>
          <w:szCs w:val="24"/>
          <w:lang w:val="ru-RU" w:eastAsia="ru-RU" w:bidi="ar-SA"/>
        </w:rPr>
        <w:t> обеспечивается доступность для инвалидов услуг этих организаций путем изменения порядка их предоставления, оказания инвалидам дополнительной помощи при их получении, и т.п.</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Указанные меры по приспособлению не могут быть беспредельными.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Во-первых,</w:t>
      </w:r>
      <w:r w:rsidRPr="001E1C90">
        <w:rPr>
          <w:rFonts w:ascii="Times New Roman" w:eastAsia="Times New Roman" w:hAnsi="Times New Roman" w:cs="Times New Roman"/>
          <w:color w:val="111111"/>
          <w:sz w:val="24"/>
          <w:szCs w:val="24"/>
          <w:lang w:val="ru-RU" w:eastAsia="ru-RU" w:bidi="ar-SA"/>
        </w:rPr>
        <w:t xml:space="preserve"> они должны соответствовать потребностям инвалидов, вызванным ограничениями их жизнедеятельности. Например, инвалид вследствие заболевания </w:t>
      </w:r>
      <w:proofErr w:type="spellStart"/>
      <w:r w:rsidRPr="001E1C90">
        <w:rPr>
          <w:rFonts w:ascii="Times New Roman" w:eastAsia="Times New Roman" w:hAnsi="Times New Roman" w:cs="Times New Roman"/>
          <w:color w:val="111111"/>
          <w:sz w:val="24"/>
          <w:szCs w:val="24"/>
          <w:lang w:val="ru-RU" w:eastAsia="ru-RU" w:bidi="ar-SA"/>
        </w:rPr>
        <w:t>сердечно-сосудистой</w:t>
      </w:r>
      <w:proofErr w:type="spellEnd"/>
      <w:r w:rsidRPr="001E1C90">
        <w:rPr>
          <w:rFonts w:ascii="Times New Roman" w:eastAsia="Times New Roman" w:hAnsi="Times New Roman" w:cs="Times New Roman"/>
          <w:color w:val="111111"/>
          <w:sz w:val="24"/>
          <w:szCs w:val="24"/>
          <w:lang w:val="ru-RU" w:eastAsia="ru-RU" w:bidi="ar-SA"/>
        </w:rPr>
        <w:t xml:space="preserve"> системы при пользовании речным портом должен иметь возможность для отдыха в сидячем положении. Однако это не порождает право инвалида </w:t>
      </w:r>
      <w:r w:rsidRPr="001E1C90">
        <w:rPr>
          <w:rFonts w:ascii="Times New Roman" w:eastAsia="Times New Roman" w:hAnsi="Times New Roman" w:cs="Times New Roman"/>
          <w:color w:val="111111"/>
          <w:sz w:val="24"/>
          <w:szCs w:val="24"/>
          <w:lang w:val="ru-RU" w:eastAsia="ru-RU" w:bidi="ar-SA"/>
        </w:rPr>
        <w:lastRenderedPageBreak/>
        <w:t>пользоваться залом повышенной комфортности для официальных делегаций, если есть сидячие места в общем зале.</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Во-вторых,</w:t>
      </w:r>
      <w:r w:rsidRPr="001E1C90">
        <w:rPr>
          <w:rFonts w:ascii="Times New Roman" w:eastAsia="Times New Roman" w:hAnsi="Times New Roman" w:cs="Times New Roman"/>
          <w:color w:val="111111"/>
          <w:sz w:val="24"/>
          <w:szCs w:val="24"/>
          <w:lang w:val="ru-RU" w:eastAsia="ru-RU" w:bidi="ar-SA"/>
        </w:rPr>
        <w:t> меры по приспособлению должны соответствовать возможностям организаций. Например, не обосновано требование полностью реконструировать здание XVI в., которое является памятником архитектуры.</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В целом, универсальный дизайн направлен на то, чтобы сделать обстановку, предметы максимально пригодными для использования всеми категориями граждан. Например, низко расположенным таксофоном могут пользоваться лица на инвалидных колясках, дети, люди низкого роста.</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Российское законодательство конкретизирует реализацию положений Конвенции о правах инвалидов.</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Создание доступной среды для инвалидов регулируют:</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Федеральный закон от 24 ноября 1995 года N 181-ФЗ «О социальной защите инвалидов в Российской Федерации» (ст. 15);</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Федеральный закон от 29 декабря 2012 г. № 273-ФЗ «Об образовании в</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Российской Федерации» (ст. 79);</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Федеральный закон от 28 декабря 2013 г. N 442-ФЗ «Об основах социального</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обслуживания граждан в Российской Федерации» (п. 4 ст. 19);</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Федеральный закон от 10 января 2003 года N 18-ФЗ «Устав железнодорожного транспорта Российской Федерации» (ст. 60.1),</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Федеральный закон от 8 ноября 2007 года N 259-ФЗ «Устав автомобильного транспорта и городского наземного электрического транспорта» (ст. 21.1);</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Воздушный кодекс РФ (ст. 106.1);</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Федеральный закон от 7 июля 2003 года N 126-ФЗ «О связи» (п. 2 ст. 46);</w:t>
      </w:r>
    </w:p>
    <w:p w:rsidR="001E1C90" w:rsidRPr="001E1C90" w:rsidRDefault="001E1C90" w:rsidP="001E1C90">
      <w:pPr>
        <w:numPr>
          <w:ilvl w:val="0"/>
          <w:numId w:val="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Другие нормативные правовые акты.</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Установление инвалидности в соответствии с российским законодательством.</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При этом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Основные категории жизнедеятельности человека представлены в табл. 1.</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Таблица 1</w:t>
      </w:r>
    </w:p>
    <w:tbl>
      <w:tblPr>
        <w:tblW w:w="10545" w:type="dxa"/>
        <w:tblCellMar>
          <w:left w:w="0" w:type="dxa"/>
          <w:right w:w="0" w:type="dxa"/>
        </w:tblCellMar>
        <w:tblLook w:val="04A0"/>
      </w:tblPr>
      <w:tblGrid>
        <w:gridCol w:w="3345"/>
        <w:gridCol w:w="7200"/>
      </w:tblGrid>
      <w:tr w:rsidR="001E1C90" w:rsidRPr="001E1C90" w:rsidTr="001E1C90">
        <w:trPr>
          <w:trHeight w:val="210"/>
        </w:trPr>
        <w:tc>
          <w:tcPr>
            <w:tcW w:w="33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Категории жизнедеятельности</w:t>
            </w:r>
          </w:p>
        </w:tc>
        <w:tc>
          <w:tcPr>
            <w:tcW w:w="720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Содержание категории жизнедеятельности</w:t>
            </w:r>
          </w:p>
        </w:tc>
      </w:tr>
      <w:tr w:rsidR="001E1C90" w:rsidRPr="001E1C90" w:rsidTr="001E1C90">
        <w:trPr>
          <w:trHeight w:val="495"/>
        </w:trPr>
        <w:tc>
          <w:tcPr>
            <w:tcW w:w="33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Способность к самообслуживанию</w:t>
            </w:r>
          </w:p>
        </w:tc>
        <w:tc>
          <w:tcPr>
            <w:tcW w:w="720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 гигиены</w:t>
            </w:r>
          </w:p>
        </w:tc>
      </w:tr>
      <w:tr w:rsidR="001E1C90" w:rsidRPr="001E1C90" w:rsidTr="001E1C90">
        <w:trPr>
          <w:trHeight w:val="585"/>
        </w:trPr>
        <w:tc>
          <w:tcPr>
            <w:tcW w:w="334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Способность к самостоятельному передвижению</w:t>
            </w:r>
          </w:p>
        </w:tc>
        <w:tc>
          <w:tcPr>
            <w:tcW w:w="7200"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tc>
      </w:tr>
      <w:tr w:rsidR="001E1C90" w:rsidRPr="001E1C90" w:rsidTr="001E1C90">
        <w:tc>
          <w:tcPr>
            <w:tcW w:w="33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lastRenderedPageBreak/>
              <w:t>Способность к ориентации</w:t>
            </w:r>
          </w:p>
        </w:tc>
        <w:tc>
          <w:tcPr>
            <w:tcW w:w="720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Способность к адекватному восприятию личности и окружающей обстановки, оценке ситуации, к определению времени и места нахождения</w:t>
            </w:r>
          </w:p>
        </w:tc>
      </w:tr>
      <w:tr w:rsidR="001E1C90" w:rsidRPr="001E1C90" w:rsidTr="001E1C90">
        <w:tc>
          <w:tcPr>
            <w:tcW w:w="334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Способность к общению</w:t>
            </w:r>
          </w:p>
        </w:tc>
        <w:tc>
          <w:tcPr>
            <w:tcW w:w="7200"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Способность к установлению контактов между людьми путем восприятия, переработки, хранения, воспроизведения и передачи информации</w:t>
            </w:r>
          </w:p>
        </w:tc>
      </w:tr>
      <w:tr w:rsidR="001E1C90" w:rsidRPr="001E1C90" w:rsidTr="001E1C90">
        <w:trPr>
          <w:trHeight w:val="405"/>
        </w:trPr>
        <w:tc>
          <w:tcPr>
            <w:tcW w:w="33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Способность контролировать свое поведение</w:t>
            </w:r>
          </w:p>
        </w:tc>
        <w:tc>
          <w:tcPr>
            <w:tcW w:w="720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Способность к осознанию себя и адекватному поведению с учетом социально-правовых и морально-этических норм</w:t>
            </w:r>
          </w:p>
        </w:tc>
      </w:tr>
      <w:tr w:rsidR="001E1C90" w:rsidRPr="001E1C90" w:rsidTr="001E1C90">
        <w:tc>
          <w:tcPr>
            <w:tcW w:w="334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Способность к обучению</w:t>
            </w:r>
          </w:p>
        </w:tc>
        <w:tc>
          <w:tcPr>
            <w:tcW w:w="7200"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tc>
      </w:tr>
      <w:tr w:rsidR="001E1C90" w:rsidRPr="001E1C90" w:rsidTr="001E1C90">
        <w:tc>
          <w:tcPr>
            <w:tcW w:w="33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Способность к трудовой деятельности</w:t>
            </w:r>
          </w:p>
        </w:tc>
        <w:tc>
          <w:tcPr>
            <w:tcW w:w="720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Способность осуществлять трудовую деятельность в соответствии с требованиями к содержанию, объему, качеству и условиям выполнения работы</w:t>
            </w:r>
          </w:p>
        </w:tc>
      </w:tr>
    </w:tbl>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Установление инвалидности у взрослых и детей осуществляется при предоставлении государственной услуги по проведению медико-социальной экспертизы. Для выполнения этой услуги в РФ функционируют федеральные учреждения медико-социальной экспертизы, подведомственные Министерству труда и социальной защиты Российской Федерации.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Условиями признания гражданина инвалидом являются: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нарушение здоровья со стойким расстройством функций организма, обусловленное заболеваниями, последствиями травм или дефектами;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ограничение жизнедеятельности;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необходимость осуществления мер социальной защиты, включая реабилитацию.</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Наличие лишь одного из указанных условий не является основанием, достаточным для признания гражданина инвалидом.</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Инвалидность устанавливают исходя из комплексной оценки состояния здоровья гражданина в соответствии с Классификациями и критериями, утвержденными Минтрудом РФ.</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В зависимости от степени расстройства функций организма гражданину, признанному инвалидом, устанавливается I, II или III группа инвалидности.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I группа инвалидности устанавливается при наиболее тяжелых расстройствах функций организма, III группа инвалидности – при наиболее легких. Ребенку (лицу в возрасте до 18 лет) не зависимо от тяжести расстройства функций организма устанавливается категория «ребенок – инвалид».</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Порядок составления и формы справки и индивидуальной программы реабилитации утверждаются Минтруда России.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Наряду с термином «инвалид» в нормативных актах и специальной литературе используется термин </w:t>
      </w:r>
      <w:r w:rsidRPr="001E1C90">
        <w:rPr>
          <w:rFonts w:ascii="Times New Roman" w:eastAsia="Times New Roman" w:hAnsi="Times New Roman" w:cs="Times New Roman"/>
          <w:b/>
          <w:bCs/>
          <w:color w:val="111111"/>
          <w:sz w:val="24"/>
          <w:szCs w:val="24"/>
          <w:lang w:val="ru-RU" w:eastAsia="ru-RU" w:bidi="ar-SA"/>
        </w:rPr>
        <w:t>«</w:t>
      </w:r>
      <w:proofErr w:type="spellStart"/>
      <w:r w:rsidRPr="001E1C90">
        <w:rPr>
          <w:rFonts w:ascii="Times New Roman" w:eastAsia="Times New Roman" w:hAnsi="Times New Roman" w:cs="Times New Roman"/>
          <w:b/>
          <w:bCs/>
          <w:color w:val="111111"/>
          <w:sz w:val="24"/>
          <w:szCs w:val="24"/>
          <w:lang w:val="ru-RU" w:eastAsia="ru-RU" w:bidi="ar-SA"/>
        </w:rPr>
        <w:t>маломобильные</w:t>
      </w:r>
      <w:proofErr w:type="spellEnd"/>
      <w:r w:rsidRPr="001E1C90">
        <w:rPr>
          <w:rFonts w:ascii="Times New Roman" w:eastAsia="Times New Roman" w:hAnsi="Times New Roman" w:cs="Times New Roman"/>
          <w:b/>
          <w:bCs/>
          <w:color w:val="111111"/>
          <w:sz w:val="24"/>
          <w:szCs w:val="24"/>
          <w:lang w:val="ru-RU" w:eastAsia="ru-RU" w:bidi="ar-SA"/>
        </w:rPr>
        <w:t xml:space="preserve"> группы населения»</w:t>
      </w:r>
      <w:r w:rsidRPr="001E1C90">
        <w:rPr>
          <w:rFonts w:ascii="Times New Roman" w:eastAsia="Times New Roman" w:hAnsi="Times New Roman" w:cs="Times New Roman"/>
          <w:color w:val="111111"/>
          <w:sz w:val="24"/>
          <w:szCs w:val="24"/>
          <w:lang w:val="ru-RU" w:eastAsia="ru-RU" w:bidi="ar-SA"/>
        </w:rPr>
        <w:t xml:space="preserve"> (МГН), который </w:t>
      </w:r>
      <w:r w:rsidRPr="001E1C90">
        <w:rPr>
          <w:rFonts w:ascii="Times New Roman" w:eastAsia="Times New Roman" w:hAnsi="Times New Roman" w:cs="Times New Roman"/>
          <w:color w:val="111111"/>
          <w:sz w:val="24"/>
          <w:szCs w:val="24"/>
          <w:lang w:val="ru-RU" w:eastAsia="ru-RU" w:bidi="ar-SA"/>
        </w:rPr>
        <w:lastRenderedPageBreak/>
        <w:t>определяется как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 xml:space="preserve">К </w:t>
      </w:r>
      <w:proofErr w:type="spellStart"/>
      <w:r w:rsidRPr="001E1C90">
        <w:rPr>
          <w:rFonts w:ascii="Times New Roman" w:eastAsia="Times New Roman" w:hAnsi="Times New Roman" w:cs="Times New Roman"/>
          <w:b/>
          <w:bCs/>
          <w:color w:val="111111"/>
          <w:sz w:val="24"/>
          <w:szCs w:val="24"/>
          <w:lang w:val="ru-RU" w:eastAsia="ru-RU" w:bidi="ar-SA"/>
        </w:rPr>
        <w:t>маломобильным</w:t>
      </w:r>
      <w:proofErr w:type="spellEnd"/>
      <w:r w:rsidRPr="001E1C90">
        <w:rPr>
          <w:rFonts w:ascii="Times New Roman" w:eastAsia="Times New Roman" w:hAnsi="Times New Roman" w:cs="Times New Roman"/>
          <w:b/>
          <w:bCs/>
          <w:color w:val="111111"/>
          <w:sz w:val="24"/>
          <w:szCs w:val="24"/>
          <w:lang w:val="ru-RU" w:eastAsia="ru-RU" w:bidi="ar-SA"/>
        </w:rPr>
        <w:t xml:space="preserve"> группам населения здесь отнесены:</w:t>
      </w:r>
      <w:r w:rsidRPr="001E1C90">
        <w:rPr>
          <w:rFonts w:ascii="Times New Roman" w:eastAsia="Times New Roman" w:hAnsi="Times New Roman" w:cs="Times New Roman"/>
          <w:color w:val="111111"/>
          <w:sz w:val="24"/>
          <w:szCs w:val="24"/>
          <w:lang w:val="ru-RU" w:eastAsia="ru-RU" w:bidi="ar-SA"/>
        </w:rPr>
        <w:t> инвалиды, люди с временным нарушением здоровья, беременные женщины, люди старших возрастов, люди с детскими колясками и т.п.». Таким образом, МГН – это более широкая категория людей, включающая в себя инвалидов.</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Для решения вопросов создания доступной среды жизнедеятельности на объектах социальной инфраструктуры </w:t>
      </w:r>
      <w:r w:rsidRPr="001E1C90">
        <w:rPr>
          <w:rFonts w:ascii="Times New Roman" w:eastAsia="Times New Roman" w:hAnsi="Times New Roman" w:cs="Times New Roman"/>
          <w:b/>
          <w:bCs/>
          <w:color w:val="111111"/>
          <w:sz w:val="24"/>
          <w:szCs w:val="24"/>
          <w:lang w:val="ru-RU" w:eastAsia="ru-RU" w:bidi="ar-SA"/>
        </w:rPr>
        <w:t>разработана классификация форм инвалидности</w:t>
      </w:r>
      <w:r w:rsidRPr="001E1C90">
        <w:rPr>
          <w:rFonts w:ascii="Times New Roman" w:eastAsia="Times New Roman" w:hAnsi="Times New Roman" w:cs="Times New Roman"/>
          <w:color w:val="111111"/>
          <w:sz w:val="24"/>
          <w:szCs w:val="24"/>
          <w:lang w:val="ru-RU" w:eastAsia="ru-RU" w:bidi="ar-SA"/>
        </w:rPr>
        <w:t>, которую условно можно обозначить «</w:t>
      </w:r>
      <w:proofErr w:type="spellStart"/>
      <w:r w:rsidRPr="001E1C90">
        <w:rPr>
          <w:rFonts w:ascii="Times New Roman" w:eastAsia="Times New Roman" w:hAnsi="Times New Roman" w:cs="Times New Roman"/>
          <w:color w:val="111111"/>
          <w:sz w:val="24"/>
          <w:szCs w:val="24"/>
          <w:lang w:val="ru-RU" w:eastAsia="ru-RU" w:bidi="ar-SA"/>
        </w:rPr>
        <w:t>пентада</w:t>
      </w:r>
      <w:proofErr w:type="spellEnd"/>
      <w:r w:rsidRPr="001E1C90">
        <w:rPr>
          <w:rFonts w:ascii="Times New Roman" w:eastAsia="Times New Roman" w:hAnsi="Times New Roman" w:cs="Times New Roman"/>
          <w:color w:val="111111"/>
          <w:sz w:val="24"/>
          <w:szCs w:val="24"/>
          <w:lang w:val="ru-RU" w:eastAsia="ru-RU" w:bidi="ar-SA"/>
        </w:rPr>
        <w:t xml:space="preserve"> </w:t>
      </w:r>
      <w:proofErr w:type="spellStart"/>
      <w:r w:rsidRPr="001E1C90">
        <w:rPr>
          <w:rFonts w:ascii="Times New Roman" w:eastAsia="Times New Roman" w:hAnsi="Times New Roman" w:cs="Times New Roman"/>
          <w:color w:val="111111"/>
          <w:sz w:val="24"/>
          <w:szCs w:val="24"/>
          <w:lang w:val="ru-RU" w:eastAsia="ru-RU" w:bidi="ar-SA"/>
        </w:rPr>
        <w:t>косгу</w:t>
      </w:r>
      <w:proofErr w:type="spellEnd"/>
      <w:r w:rsidRPr="001E1C90">
        <w:rPr>
          <w:rFonts w:ascii="Times New Roman" w:eastAsia="Times New Roman" w:hAnsi="Times New Roman" w:cs="Times New Roman"/>
          <w:color w:val="111111"/>
          <w:sz w:val="24"/>
          <w:szCs w:val="24"/>
          <w:lang w:val="ru-RU" w:eastAsia="ru-RU" w:bidi="ar-SA"/>
        </w:rPr>
        <w:t>» (табл.2).</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Таблица 2</w:t>
      </w:r>
    </w:p>
    <w:tbl>
      <w:tblPr>
        <w:tblW w:w="10365" w:type="dxa"/>
        <w:tblCellMar>
          <w:left w:w="0" w:type="dxa"/>
          <w:right w:w="0" w:type="dxa"/>
        </w:tblCellMar>
        <w:tblLook w:val="04A0"/>
      </w:tblPr>
      <w:tblGrid>
        <w:gridCol w:w="1665"/>
        <w:gridCol w:w="6555"/>
        <w:gridCol w:w="2145"/>
      </w:tblGrid>
      <w:tr w:rsidR="001E1C90" w:rsidRPr="001E1C90" w:rsidTr="001E1C90">
        <w:tc>
          <w:tcPr>
            <w:tcW w:w="166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Буквенное обозначение</w:t>
            </w:r>
          </w:p>
        </w:tc>
        <w:tc>
          <w:tcPr>
            <w:tcW w:w="655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Формы инвалидности</w:t>
            </w:r>
          </w:p>
        </w:tc>
        <w:tc>
          <w:tcPr>
            <w:tcW w:w="21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Графическое изображение</w:t>
            </w:r>
          </w:p>
        </w:tc>
      </w:tr>
      <w:tr w:rsidR="001E1C90" w:rsidRPr="001E1C90" w:rsidTr="001E1C90">
        <w:trPr>
          <w:trHeight w:val="645"/>
        </w:trPr>
        <w:tc>
          <w:tcPr>
            <w:tcW w:w="166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numPr>
                <w:ilvl w:val="0"/>
                <w:numId w:val="2"/>
              </w:numPr>
              <w:ind w:left="0"/>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c>
          <w:tcPr>
            <w:tcW w:w="655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Инвалиды, передвигающиеся на креслах-колясках</w:t>
            </w:r>
          </w:p>
        </w:tc>
        <w:tc>
          <w:tcPr>
            <w:tcW w:w="21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r>
      <w:tr w:rsidR="001E1C90" w:rsidRPr="001E1C90" w:rsidTr="001E1C90">
        <w:trPr>
          <w:trHeight w:val="510"/>
        </w:trPr>
        <w:tc>
          <w:tcPr>
            <w:tcW w:w="166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numPr>
                <w:ilvl w:val="0"/>
                <w:numId w:val="3"/>
              </w:numPr>
              <w:ind w:left="0"/>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c>
          <w:tcPr>
            <w:tcW w:w="655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Инвалиды с нарушениями опорно-двигательного аппарата</w:t>
            </w:r>
          </w:p>
        </w:tc>
        <w:tc>
          <w:tcPr>
            <w:tcW w:w="214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r>
      <w:tr w:rsidR="001E1C90" w:rsidRPr="001E1C90" w:rsidTr="001E1C90">
        <w:tc>
          <w:tcPr>
            <w:tcW w:w="166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numPr>
                <w:ilvl w:val="0"/>
                <w:numId w:val="4"/>
              </w:numPr>
              <w:ind w:left="0"/>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c>
          <w:tcPr>
            <w:tcW w:w="655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Инвалиды с нарушениями зрения</w:t>
            </w:r>
          </w:p>
        </w:tc>
        <w:tc>
          <w:tcPr>
            <w:tcW w:w="21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r>
      <w:tr w:rsidR="001E1C90" w:rsidRPr="001E1C90" w:rsidTr="001E1C90">
        <w:tc>
          <w:tcPr>
            <w:tcW w:w="166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numPr>
                <w:ilvl w:val="0"/>
                <w:numId w:val="5"/>
              </w:numPr>
              <w:ind w:left="0"/>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c>
          <w:tcPr>
            <w:tcW w:w="655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Инвалиды с нарушениями слуха</w:t>
            </w:r>
          </w:p>
        </w:tc>
        <w:tc>
          <w:tcPr>
            <w:tcW w:w="214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r>
      <w:tr w:rsidR="001E1C90" w:rsidRPr="001E1C90" w:rsidTr="001E1C90">
        <w:tc>
          <w:tcPr>
            <w:tcW w:w="166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numPr>
                <w:ilvl w:val="0"/>
                <w:numId w:val="6"/>
              </w:numPr>
              <w:ind w:left="0"/>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c>
          <w:tcPr>
            <w:tcW w:w="655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Инвалиды с нарушениями умственного развития</w:t>
            </w:r>
          </w:p>
        </w:tc>
        <w:tc>
          <w:tcPr>
            <w:tcW w:w="214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w:t>
            </w:r>
          </w:p>
        </w:tc>
      </w:tr>
    </w:tbl>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 Краткая характеристика барьеров окружающей среды для инвалидов разных форм</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Для инвалидов, передвигающихся на креслах-колясках,</w:t>
      </w:r>
      <w:r w:rsidRPr="001E1C90">
        <w:rPr>
          <w:rFonts w:ascii="Times New Roman" w:eastAsia="Times New Roman" w:hAnsi="Times New Roman" w:cs="Times New Roman"/>
          <w:color w:val="111111"/>
          <w:sz w:val="24"/>
          <w:szCs w:val="24"/>
          <w:lang w:val="ru-RU" w:eastAsia="ru-RU" w:bidi="ar-SA"/>
        </w:rPr>
        <w:t xml:space="preserve"> барьерами различной степени выраженности могут быть пороги, ступени, неровное, скользкое покрытие, неправильно установленные пандусы, отсутствие поручней, высокое расположение информации, высокие прилавки, отсутствие места для разворота на </w:t>
      </w:r>
      <w:proofErr w:type="spellStart"/>
      <w:r w:rsidRPr="001E1C90">
        <w:rPr>
          <w:rFonts w:ascii="Times New Roman" w:eastAsia="Times New Roman" w:hAnsi="Times New Roman" w:cs="Times New Roman"/>
          <w:color w:val="111111"/>
          <w:sz w:val="24"/>
          <w:szCs w:val="24"/>
          <w:lang w:val="ru-RU" w:eastAsia="ru-RU" w:bidi="ar-SA"/>
        </w:rPr>
        <w:t>кресло-коляске</w:t>
      </w:r>
      <w:proofErr w:type="spellEnd"/>
      <w:r w:rsidRPr="001E1C90">
        <w:rPr>
          <w:rFonts w:ascii="Times New Roman" w:eastAsia="Times New Roman" w:hAnsi="Times New Roman" w:cs="Times New Roman"/>
          <w:color w:val="111111"/>
          <w:sz w:val="24"/>
          <w:szCs w:val="24"/>
          <w:lang w:val="ru-RU" w:eastAsia="ru-RU" w:bidi="ar-SA"/>
        </w:rPr>
        <w:t>, узкие дверные проемы, коридоры, отсутствие посторонней помощи при преодолении препятствий (при необходимости) и др. физические и информационные барьеры.</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Для инвалидов с нарушениями опорно-двигательного аппарата</w:t>
      </w:r>
      <w:r w:rsidRPr="001E1C90">
        <w:rPr>
          <w:rFonts w:ascii="Times New Roman" w:eastAsia="Times New Roman" w:hAnsi="Times New Roman" w:cs="Times New Roman"/>
          <w:color w:val="111111"/>
          <w:sz w:val="24"/>
          <w:szCs w:val="24"/>
          <w:lang w:val="ru-RU" w:eastAsia="ru-RU" w:bidi="ar-SA"/>
        </w:rPr>
        <w:t> барьерами различной степени выраженности могут быть:</w:t>
      </w:r>
    </w:p>
    <w:p w:rsidR="001E1C90" w:rsidRPr="001E1C90" w:rsidRDefault="001E1C90" w:rsidP="001E1C90">
      <w:pPr>
        <w:numPr>
          <w:ilvl w:val="0"/>
          <w:numId w:val="7"/>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для лиц, передвигающихся самостоятельно с помощью тростей, костылей, опор –  пороги, ступени, неровное, скользкое покрытие, неправильно установленные пандусы, отсутствие поручней, отсутствие мест отдыха на пути движения и др. физические барьеры;</w:t>
      </w:r>
    </w:p>
    <w:p w:rsidR="001E1C90" w:rsidRPr="001E1C90" w:rsidRDefault="001E1C90" w:rsidP="001E1C90">
      <w:pPr>
        <w:numPr>
          <w:ilvl w:val="0"/>
          <w:numId w:val="7"/>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для лиц, не действующих руками –  препятствия при выполнении действий руками (открывание дверей, снятие одежды и обуви и т.д., пользование краном, клавишами и др.), отсутствие  помощи  на объекте социальной инфраструктуры для  осуществления  действий руками;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 xml:space="preserve">Для инвалидов с </w:t>
      </w:r>
      <w:proofErr w:type="spellStart"/>
      <w:r w:rsidRPr="001E1C90">
        <w:rPr>
          <w:rFonts w:ascii="Times New Roman" w:eastAsia="Times New Roman" w:hAnsi="Times New Roman" w:cs="Times New Roman"/>
          <w:b/>
          <w:bCs/>
          <w:i/>
          <w:iCs/>
          <w:color w:val="111111"/>
          <w:sz w:val="24"/>
          <w:szCs w:val="24"/>
          <w:lang w:val="ru-RU" w:eastAsia="ru-RU" w:bidi="ar-SA"/>
        </w:rPr>
        <w:t>нарушениямизрения</w:t>
      </w:r>
      <w:proofErr w:type="spellEnd"/>
      <w:r w:rsidRPr="001E1C90">
        <w:rPr>
          <w:rFonts w:ascii="Times New Roman" w:eastAsia="Times New Roman" w:hAnsi="Times New Roman" w:cs="Times New Roman"/>
          <w:color w:val="111111"/>
          <w:sz w:val="24"/>
          <w:szCs w:val="24"/>
          <w:lang w:val="ru-RU" w:eastAsia="ru-RU" w:bidi="ar-SA"/>
        </w:rPr>
        <w:t> барьерами различной степени выраженности могут быть отсутствие тактильных указателей, в том числе направления движения, информационных указателей, преграды на пути движения (стойки, колонны, углы, стеклянные двери без контрастного обозначения и др.); неровное, скользкое покрытие, отсутствие  помощи  на объекте социальной инфраструктуры для   получения информации и ориентации и др.</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Для инвалидов с нарушениями слуха</w:t>
      </w:r>
      <w:r w:rsidRPr="001E1C90">
        <w:rPr>
          <w:rFonts w:ascii="Times New Roman" w:eastAsia="Times New Roman" w:hAnsi="Times New Roman" w:cs="Times New Roman"/>
          <w:color w:val="111111"/>
          <w:sz w:val="24"/>
          <w:szCs w:val="24"/>
          <w:lang w:val="ru-RU" w:eastAsia="ru-RU" w:bidi="ar-SA"/>
        </w:rPr>
        <w:t xml:space="preserve"> барьерами различной степени выраженности могут быть отсутствие зрительной информации, в том числе при чрезвычайных ситуациях на объекте социальной инфраструктуры, отсутствие возможности подключения современных технических средств реабилитации (слуховых аппаратов) к системам информации </w:t>
      </w:r>
      <w:r w:rsidRPr="001E1C90">
        <w:rPr>
          <w:rFonts w:ascii="Times New Roman" w:eastAsia="Times New Roman" w:hAnsi="Times New Roman" w:cs="Times New Roman"/>
          <w:color w:val="111111"/>
          <w:sz w:val="24"/>
          <w:szCs w:val="24"/>
          <w:lang w:val="ru-RU" w:eastAsia="ru-RU" w:bidi="ar-SA"/>
        </w:rPr>
        <w:lastRenderedPageBreak/>
        <w:t xml:space="preserve">(например, через индукционные петли), электромагнитные помехи при проходе через турникеты, средства контроля для лиц с </w:t>
      </w:r>
      <w:proofErr w:type="spellStart"/>
      <w:r w:rsidRPr="001E1C90">
        <w:rPr>
          <w:rFonts w:ascii="Times New Roman" w:eastAsia="Times New Roman" w:hAnsi="Times New Roman" w:cs="Times New Roman"/>
          <w:color w:val="111111"/>
          <w:sz w:val="24"/>
          <w:szCs w:val="24"/>
          <w:lang w:val="ru-RU" w:eastAsia="ru-RU" w:bidi="ar-SA"/>
        </w:rPr>
        <w:t>кохлеарными</w:t>
      </w:r>
      <w:proofErr w:type="spellEnd"/>
      <w:r w:rsidRPr="001E1C90">
        <w:rPr>
          <w:rFonts w:ascii="Times New Roman" w:eastAsia="Times New Roman" w:hAnsi="Times New Roman" w:cs="Times New Roman"/>
          <w:color w:val="111111"/>
          <w:sz w:val="24"/>
          <w:szCs w:val="24"/>
          <w:lang w:val="ru-RU" w:eastAsia="ru-RU" w:bidi="ar-SA"/>
        </w:rPr>
        <w:t xml:space="preserve"> </w:t>
      </w:r>
      <w:proofErr w:type="spellStart"/>
      <w:r w:rsidRPr="001E1C90">
        <w:rPr>
          <w:rFonts w:ascii="Times New Roman" w:eastAsia="Times New Roman" w:hAnsi="Times New Roman" w:cs="Times New Roman"/>
          <w:color w:val="111111"/>
          <w:sz w:val="24"/>
          <w:szCs w:val="24"/>
          <w:lang w:val="ru-RU" w:eastAsia="ru-RU" w:bidi="ar-SA"/>
        </w:rPr>
        <w:t>имплантами</w:t>
      </w:r>
      <w:proofErr w:type="spellEnd"/>
      <w:r w:rsidRPr="001E1C90">
        <w:rPr>
          <w:rFonts w:ascii="Times New Roman" w:eastAsia="Times New Roman" w:hAnsi="Times New Roman" w:cs="Times New Roman"/>
          <w:color w:val="111111"/>
          <w:sz w:val="24"/>
          <w:szCs w:val="24"/>
          <w:lang w:val="ru-RU" w:eastAsia="ru-RU" w:bidi="ar-SA"/>
        </w:rPr>
        <w:t xml:space="preserve">, отсутствие  </w:t>
      </w:r>
      <w:proofErr w:type="spellStart"/>
      <w:r w:rsidRPr="001E1C90">
        <w:rPr>
          <w:rFonts w:ascii="Times New Roman" w:eastAsia="Times New Roman" w:hAnsi="Times New Roman" w:cs="Times New Roman"/>
          <w:color w:val="111111"/>
          <w:sz w:val="24"/>
          <w:szCs w:val="24"/>
          <w:lang w:val="ru-RU" w:eastAsia="ru-RU" w:bidi="ar-SA"/>
        </w:rPr>
        <w:t>сурдопереводчика</w:t>
      </w:r>
      <w:proofErr w:type="spellEnd"/>
      <w:r w:rsidRPr="001E1C90">
        <w:rPr>
          <w:rFonts w:ascii="Times New Roman" w:eastAsia="Times New Roman" w:hAnsi="Times New Roman" w:cs="Times New Roman"/>
          <w:color w:val="111111"/>
          <w:sz w:val="24"/>
          <w:szCs w:val="24"/>
          <w:lang w:val="ru-RU" w:eastAsia="ru-RU" w:bidi="ar-SA"/>
        </w:rPr>
        <w:t xml:space="preserve">, </w:t>
      </w:r>
      <w:proofErr w:type="spellStart"/>
      <w:r w:rsidRPr="001E1C90">
        <w:rPr>
          <w:rFonts w:ascii="Times New Roman" w:eastAsia="Times New Roman" w:hAnsi="Times New Roman" w:cs="Times New Roman"/>
          <w:color w:val="111111"/>
          <w:sz w:val="24"/>
          <w:szCs w:val="24"/>
          <w:lang w:val="ru-RU" w:eastAsia="ru-RU" w:bidi="ar-SA"/>
        </w:rPr>
        <w:t>тифлосурдопереводчика</w:t>
      </w:r>
      <w:proofErr w:type="spellEnd"/>
      <w:r w:rsidRPr="001E1C90">
        <w:rPr>
          <w:rFonts w:ascii="Times New Roman" w:eastAsia="Times New Roman" w:hAnsi="Times New Roman" w:cs="Times New Roman"/>
          <w:color w:val="111111"/>
          <w:sz w:val="24"/>
          <w:szCs w:val="24"/>
          <w:lang w:val="ru-RU" w:eastAsia="ru-RU" w:bidi="ar-SA"/>
        </w:rPr>
        <w:t xml:space="preserve"> и др. информационные барьеры.</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 xml:space="preserve">Для инвалидов с </w:t>
      </w:r>
      <w:proofErr w:type="spellStart"/>
      <w:r w:rsidRPr="001E1C90">
        <w:rPr>
          <w:rFonts w:ascii="Times New Roman" w:eastAsia="Times New Roman" w:hAnsi="Times New Roman" w:cs="Times New Roman"/>
          <w:b/>
          <w:bCs/>
          <w:i/>
          <w:iCs/>
          <w:color w:val="111111"/>
          <w:sz w:val="24"/>
          <w:szCs w:val="24"/>
          <w:lang w:val="ru-RU" w:eastAsia="ru-RU" w:bidi="ar-SA"/>
        </w:rPr>
        <w:t>нарушениямиумственного</w:t>
      </w:r>
      <w:proofErr w:type="spellEnd"/>
      <w:r w:rsidRPr="001E1C90">
        <w:rPr>
          <w:rFonts w:ascii="Times New Roman" w:eastAsia="Times New Roman" w:hAnsi="Times New Roman" w:cs="Times New Roman"/>
          <w:b/>
          <w:bCs/>
          <w:i/>
          <w:iCs/>
          <w:color w:val="111111"/>
          <w:sz w:val="24"/>
          <w:szCs w:val="24"/>
          <w:lang w:val="ru-RU" w:eastAsia="ru-RU" w:bidi="ar-SA"/>
        </w:rPr>
        <w:t xml:space="preserve"> развития</w:t>
      </w:r>
      <w:r w:rsidRPr="001E1C90">
        <w:rPr>
          <w:rFonts w:ascii="Times New Roman" w:eastAsia="Times New Roman" w:hAnsi="Times New Roman" w:cs="Times New Roman"/>
          <w:color w:val="111111"/>
          <w:sz w:val="24"/>
          <w:szCs w:val="24"/>
          <w:lang w:val="ru-RU" w:eastAsia="ru-RU" w:bidi="ar-SA"/>
        </w:rPr>
        <w:t> барьерами различной степени выраженности могут быть отсутствие понятной  для усвоения информации на объекте социальной инфраструктуры,  отсутствие  помощи  на объекте социальной инфраструктуры для   получения информации и ориентации и др.</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Общие рекомендации для специалистов по устранению барьеров для инвалидов с разными формами инвалидности.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Общие рекомендации по устранению барьеров окружающей среды на объектах социальной инфраструктуры представлены в табл.3</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Таблица 3</w:t>
      </w:r>
    </w:p>
    <w:tbl>
      <w:tblPr>
        <w:tblW w:w="10545" w:type="dxa"/>
        <w:tblCellMar>
          <w:left w:w="0" w:type="dxa"/>
          <w:right w:w="0" w:type="dxa"/>
        </w:tblCellMar>
        <w:tblLook w:val="04A0"/>
      </w:tblPr>
      <w:tblGrid>
        <w:gridCol w:w="3525"/>
        <w:gridCol w:w="7020"/>
      </w:tblGrid>
      <w:tr w:rsidR="001E1C90" w:rsidRPr="001E1C90" w:rsidTr="001E1C90">
        <w:tc>
          <w:tcPr>
            <w:tcW w:w="352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Основные формы инвалидности</w:t>
            </w:r>
          </w:p>
        </w:tc>
        <w:tc>
          <w:tcPr>
            <w:tcW w:w="702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Общие рекомендации по устранению барьеров окружающей среды</w:t>
            </w:r>
          </w:p>
        </w:tc>
      </w:tr>
      <w:tr w:rsidR="001E1C90" w:rsidRPr="001E1C90" w:rsidTr="001E1C90">
        <w:tc>
          <w:tcPr>
            <w:tcW w:w="352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Инвалиды, передвигающиеся на креслах-колясках</w:t>
            </w:r>
          </w:p>
        </w:tc>
        <w:tc>
          <w:tcPr>
            <w:tcW w:w="702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Устранение физических барьеров на пути к месту предоставления услуг, альтернативные формы оказания услуг (в т.ч.) на дому, удобное размещение информации, организация работы помощников</w:t>
            </w:r>
          </w:p>
        </w:tc>
      </w:tr>
      <w:tr w:rsidR="001E1C90" w:rsidRPr="001E1C90" w:rsidTr="001E1C90">
        <w:tc>
          <w:tcPr>
            <w:tcW w:w="352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Инвалиды с нарушениями опорно-двигательного аппарата</w:t>
            </w:r>
          </w:p>
        </w:tc>
        <w:tc>
          <w:tcPr>
            <w:tcW w:w="7020"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Устранение физических барьеров на пути к месту предоставления услуг, организация места для отдыха; для инвалидов не действующих руками- помощь при выполнении необходимых действий</w:t>
            </w:r>
          </w:p>
        </w:tc>
      </w:tr>
      <w:tr w:rsidR="001E1C90" w:rsidRPr="001E1C90" w:rsidTr="001E1C90">
        <w:tc>
          <w:tcPr>
            <w:tcW w:w="352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Инвалиды с нарушениями зрения</w:t>
            </w:r>
          </w:p>
        </w:tc>
        <w:tc>
          <w:tcPr>
            <w:tcW w:w="702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xml:space="preserve">Устранение информационных и физических барьеров на пути движения, предоставление информации в доступном виде (укрупненный шрифт, плоско-точечный шрифт Брайля, контрастные знаки), допуск </w:t>
            </w:r>
            <w:proofErr w:type="spellStart"/>
            <w:r w:rsidRPr="001E1C90">
              <w:rPr>
                <w:rFonts w:ascii="Times New Roman" w:eastAsia="Times New Roman" w:hAnsi="Times New Roman" w:cs="Times New Roman"/>
                <w:sz w:val="24"/>
                <w:szCs w:val="24"/>
                <w:lang w:val="ru-RU" w:eastAsia="ru-RU" w:bidi="ar-SA"/>
              </w:rPr>
              <w:t>тифлопереводчика</w:t>
            </w:r>
            <w:proofErr w:type="spellEnd"/>
            <w:r w:rsidRPr="001E1C90">
              <w:rPr>
                <w:rFonts w:ascii="Times New Roman" w:eastAsia="Times New Roman" w:hAnsi="Times New Roman" w:cs="Times New Roman"/>
                <w:sz w:val="24"/>
                <w:szCs w:val="24"/>
                <w:lang w:val="ru-RU" w:eastAsia="ru-RU" w:bidi="ar-SA"/>
              </w:rPr>
              <w:t>, допуск собаки проводника</w:t>
            </w:r>
          </w:p>
        </w:tc>
      </w:tr>
      <w:tr w:rsidR="001E1C90" w:rsidRPr="001E1C90" w:rsidTr="001E1C90">
        <w:tc>
          <w:tcPr>
            <w:tcW w:w="3525"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Инвалиды с нарушениями слуха</w:t>
            </w:r>
          </w:p>
        </w:tc>
        <w:tc>
          <w:tcPr>
            <w:tcW w:w="7020" w:type="dxa"/>
            <w:tcBorders>
              <w:top w:val="single" w:sz="6" w:space="0" w:color="DADADA"/>
              <w:left w:val="single" w:sz="6" w:space="0" w:color="DADADA"/>
              <w:bottom w:val="single" w:sz="6" w:space="0" w:color="DADADA"/>
              <w:right w:val="single" w:sz="6" w:space="0" w:color="DADADA"/>
            </w:tcBorders>
            <w:shd w:val="clear" w:color="auto" w:fill="F1F1F1"/>
            <w:tcMar>
              <w:top w:w="120" w:type="dxa"/>
              <w:left w:w="60" w:type="dxa"/>
              <w:bottom w:w="120" w:type="dxa"/>
              <w:right w:w="60" w:type="dxa"/>
            </w:tcMar>
            <w:hideMark/>
          </w:tcPr>
          <w:p w:rsidR="001E1C90" w:rsidRPr="001E1C90" w:rsidRDefault="001E1C90" w:rsidP="001E1C90">
            <w:pPr>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 xml:space="preserve">Устранение барьеров по предоставлению информации, допуск </w:t>
            </w:r>
            <w:proofErr w:type="spellStart"/>
            <w:r w:rsidRPr="001E1C90">
              <w:rPr>
                <w:rFonts w:ascii="Times New Roman" w:eastAsia="Times New Roman" w:hAnsi="Times New Roman" w:cs="Times New Roman"/>
                <w:sz w:val="24"/>
                <w:szCs w:val="24"/>
                <w:lang w:val="ru-RU" w:eastAsia="ru-RU" w:bidi="ar-SA"/>
              </w:rPr>
              <w:t>сурдопереводчика</w:t>
            </w:r>
            <w:proofErr w:type="spellEnd"/>
          </w:p>
        </w:tc>
      </w:tr>
      <w:tr w:rsidR="001E1C90" w:rsidRPr="001E1C90" w:rsidTr="001E1C90">
        <w:trPr>
          <w:trHeight w:val="60"/>
        </w:trPr>
        <w:tc>
          <w:tcPr>
            <w:tcW w:w="3525"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spacing w:line="60" w:lineRule="atLeast"/>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b/>
                <w:bCs/>
                <w:sz w:val="24"/>
                <w:szCs w:val="24"/>
                <w:lang w:val="ru-RU" w:eastAsia="ru-RU" w:bidi="ar-SA"/>
              </w:rPr>
              <w:t>Инвалиды с нарушениями умственного развития</w:t>
            </w:r>
          </w:p>
        </w:tc>
        <w:tc>
          <w:tcPr>
            <w:tcW w:w="7020" w:type="dxa"/>
            <w:tcBorders>
              <w:top w:val="single" w:sz="6" w:space="0" w:color="DADADA"/>
              <w:left w:val="single" w:sz="6" w:space="0" w:color="DADADA"/>
              <w:bottom w:val="single" w:sz="6" w:space="0" w:color="DADADA"/>
              <w:right w:val="single" w:sz="6" w:space="0" w:color="DADADA"/>
            </w:tcBorders>
            <w:shd w:val="clear" w:color="auto" w:fill="FCFCFC"/>
            <w:tcMar>
              <w:top w:w="120" w:type="dxa"/>
              <w:left w:w="60" w:type="dxa"/>
              <w:bottom w:w="120" w:type="dxa"/>
              <w:right w:w="60" w:type="dxa"/>
            </w:tcMar>
            <w:hideMark/>
          </w:tcPr>
          <w:p w:rsidR="001E1C90" w:rsidRPr="001E1C90" w:rsidRDefault="001E1C90" w:rsidP="001E1C90">
            <w:pPr>
              <w:spacing w:line="60" w:lineRule="atLeast"/>
              <w:jc w:val="both"/>
              <w:rPr>
                <w:rFonts w:ascii="Times New Roman" w:eastAsia="Times New Roman" w:hAnsi="Times New Roman" w:cs="Times New Roman"/>
                <w:sz w:val="24"/>
                <w:szCs w:val="24"/>
                <w:lang w:val="ru-RU" w:eastAsia="ru-RU" w:bidi="ar-SA"/>
              </w:rPr>
            </w:pPr>
            <w:r w:rsidRPr="001E1C90">
              <w:rPr>
                <w:rFonts w:ascii="Times New Roman" w:eastAsia="Times New Roman" w:hAnsi="Times New Roman" w:cs="Times New Roman"/>
                <w:sz w:val="24"/>
                <w:szCs w:val="24"/>
                <w:lang w:val="ru-RU" w:eastAsia="ru-RU" w:bidi="ar-SA"/>
              </w:rPr>
              <w:t>Устранение барьеров по предоставлению информации («ясный язык» или «легкое чтение»), организация сопровождения</w:t>
            </w:r>
          </w:p>
        </w:tc>
      </w:tr>
    </w:tbl>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Этика общения с инвалидами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   Понятие «этика», философия независимой жизни, Декларация независимости инвалида</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Важной составляющей деятельности по обеспечению доступности зданий, сооружений и предоставляемых населению услуг является соблюдение этических правил общения с инвалидами.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Профессиональная этика</w:t>
      </w:r>
      <w:r w:rsidRPr="001E1C90">
        <w:rPr>
          <w:rFonts w:ascii="Times New Roman" w:eastAsia="Times New Roman" w:hAnsi="Times New Roman" w:cs="Times New Roman"/>
          <w:color w:val="111111"/>
          <w:sz w:val="24"/>
          <w:szCs w:val="24"/>
          <w:lang w:val="ru-RU" w:eastAsia="ru-RU" w:bidi="ar-SA"/>
        </w:rPr>
        <w:t> – совокупность морально-этических и нравственных норм и модель поведения специалиста в соответствующей профессиональной сфере.</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Соблюдение профессиональной этики ведет к успешному оказанию гражданам услуг, характерных для сферы деятельности учреждения, созданию и поддержанию репутации учреждения, а также формированию положительной культуры в учреждении или организации.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xml:space="preserve">В целях дальнейшего совершенствования государственной социальной политики Российской Федерации в соответствии с Указом Президента РФ от 07.05.2012 N 597 </w:t>
      </w:r>
      <w:r w:rsidRPr="001E1C90">
        <w:rPr>
          <w:rFonts w:ascii="Times New Roman" w:eastAsia="Times New Roman" w:hAnsi="Times New Roman" w:cs="Times New Roman"/>
          <w:color w:val="111111"/>
          <w:sz w:val="24"/>
          <w:szCs w:val="24"/>
          <w:lang w:val="ru-RU" w:eastAsia="ru-RU" w:bidi="ar-SA"/>
        </w:rPr>
        <w:lastRenderedPageBreak/>
        <w:t>Правительством РФ разработан комплекс мероприятий по   принятию кодексов профессиональной этики.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За последние годы приняты:</w:t>
      </w:r>
    </w:p>
    <w:p w:rsidR="001E1C90" w:rsidRPr="001E1C90" w:rsidRDefault="001E1C90" w:rsidP="001E1C90">
      <w:pPr>
        <w:numPr>
          <w:ilvl w:val="0"/>
          <w:numId w:val="8"/>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Кодекс этики и служебного поведения федеральных государственных гражданских служащих Министерства здравоохранения и социального развития Российской Федерации;</w:t>
      </w:r>
    </w:p>
    <w:p w:rsidR="001E1C90" w:rsidRPr="001E1C90" w:rsidRDefault="001E1C90" w:rsidP="001E1C90">
      <w:pPr>
        <w:numPr>
          <w:ilvl w:val="0"/>
          <w:numId w:val="8"/>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Кодекс этики и служебного поведения работников органов управления социальной защиты населения и учреждений социального обслуживания;</w:t>
      </w:r>
    </w:p>
    <w:p w:rsidR="001E1C90" w:rsidRPr="001E1C90" w:rsidRDefault="001E1C90" w:rsidP="001E1C90">
      <w:pPr>
        <w:numPr>
          <w:ilvl w:val="0"/>
          <w:numId w:val="8"/>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Кодекс профессиональной этики и служебного поведения работников федеральных государственных учреждений медико-социальной экспертиз. </w:t>
      </w:r>
      <w:r w:rsidRPr="001E1C90">
        <w:rPr>
          <w:rFonts w:ascii="Times New Roman" w:eastAsia="Times New Roman" w:hAnsi="Times New Roman" w:cs="Times New Roman"/>
          <w:b/>
          <w:bCs/>
          <w:color w:val="111111"/>
          <w:sz w:val="24"/>
          <w:szCs w:val="24"/>
          <w:lang w:val="ru-RU" w:eastAsia="ru-RU" w:bidi="ar-SA"/>
        </w:rPr>
        <w:t>В указанных кодексах определены важнейшие составляющие профессиональной этики такие</w:t>
      </w:r>
      <w:r w:rsidRPr="001E1C90">
        <w:rPr>
          <w:rFonts w:ascii="Times New Roman" w:eastAsia="Times New Roman" w:hAnsi="Times New Roman" w:cs="Times New Roman"/>
          <w:color w:val="111111"/>
          <w:sz w:val="24"/>
          <w:szCs w:val="24"/>
          <w:lang w:val="ru-RU" w:eastAsia="ru-RU" w:bidi="ar-SA"/>
        </w:rPr>
        <w:t> как добросовестность, гуманизм, беспристрастность, компетентность, нейтральность, корректность, терпимость, бесконфликтность, ответственность, порядочность и строгое соблюдение конфиденциальности.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Составной частью философии социальной защиты инвалидов является философия независимой жизни.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1.Независимая жизнь</w:t>
      </w:r>
      <w:r w:rsidRPr="001E1C90">
        <w:rPr>
          <w:rFonts w:ascii="Times New Roman" w:eastAsia="Times New Roman" w:hAnsi="Times New Roman" w:cs="Times New Roman"/>
          <w:color w:val="111111"/>
          <w:sz w:val="24"/>
          <w:szCs w:val="24"/>
          <w:lang w:val="ru-RU" w:eastAsia="ru-RU" w:bidi="ar-SA"/>
        </w:rPr>
        <w:t> – это право человека быть неотъемлемой частью жизни общества и принимать активное участие в социальных, политических и экономических процессах, иметь свободу выбора и свободу доступа к жилым и общественным зданиям, транспорту, средствам коммуникации, страхованию, труду и образованию, возможность самому определять и выбирать, принимать решения и управлять жизненными ситуациями.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2. Независимая жизнь</w:t>
      </w:r>
      <w:r w:rsidRPr="001E1C90">
        <w:rPr>
          <w:rFonts w:ascii="Times New Roman" w:eastAsia="Times New Roman" w:hAnsi="Times New Roman" w:cs="Times New Roman"/>
          <w:color w:val="111111"/>
          <w:sz w:val="24"/>
          <w:szCs w:val="24"/>
          <w:lang w:val="ru-RU" w:eastAsia="ru-RU" w:bidi="ar-SA"/>
        </w:rPr>
        <w:t> - это способ мышления, это психологическая ориентация личности, которая зависит от ее взаимоотношений с другими личностями, ее физическими возможностями, системой служб поддержки и окружающей средой.</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Общие принципы и цели независимости инвалида сформулированы в Декларации независимости инвалида.</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Декларация независимости инвалида</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рассматривайте мою инвалидность как проблему.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надо меня жалеть, я не так слаб, как кажется.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рассматривайте меня как пациента, так как я просто ваш соотечественник.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старайтесь изменить меня. У вас нет на это права.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пытайтесь руководить мною. Я имею право на собственную жизнь, как любая личность.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учите быть меня покорным, смиренным и вежливым. Не делайте мне одолжения.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Признайте, что реальной проблемой, с которой сталкиваются инвалиды, является их социальное обесценивание и притеснение, предубежденное отношение к ним.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Поддержите меня, чтобы я мог по мере сил внести свой вклад в общество.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Помогите мне познать то, что я хочу.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Будьте тем, кто заботится, не жалея времени, и кто не борется в попытке сделать лучше.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Будьте со мной, даже когда мы боремся друг с другом.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помогайте мне тогда, когда я в этом не нуждаюсь, если это даже доставляет вам удовольствие.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восхищайтесь мною. Желание жить полноценной жизнью не заслуживает восхищения.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Узнайте меня получше. Мы можем стать друзьями.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Будьте союзниками в борьбе против тех, кто пользуется мною для собственного удовлетворения. </w:t>
      </w:r>
    </w:p>
    <w:p w:rsidR="001E1C90" w:rsidRPr="001E1C90" w:rsidRDefault="001E1C90" w:rsidP="001E1C90">
      <w:pPr>
        <w:numPr>
          <w:ilvl w:val="0"/>
          <w:numId w:val="9"/>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Давайте уважать друг друга. Ведь уважение предполагает равенство. Слушайте, поддерживайте и действуйте.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Правила этикета при общении с инвалидами.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lastRenderedPageBreak/>
        <w:t>Совокупность способностей, знаний и умений, необходимых для эффективного общения при оказании помощи инвалидам в преодолении барьеров называется</w:t>
      </w:r>
      <w:r w:rsidRPr="001E1C90">
        <w:rPr>
          <w:rFonts w:ascii="Times New Roman" w:eastAsia="Times New Roman" w:hAnsi="Times New Roman" w:cs="Times New Roman"/>
          <w:b/>
          <w:bCs/>
          <w:color w:val="111111"/>
          <w:sz w:val="24"/>
          <w:szCs w:val="24"/>
          <w:lang w:val="ru-RU" w:eastAsia="ru-RU" w:bidi="ar-SA"/>
        </w:rPr>
        <w:t> коммуникативная эффективность</w:t>
      </w:r>
      <w:r w:rsidRPr="001E1C90">
        <w:rPr>
          <w:rFonts w:ascii="Times New Roman" w:eastAsia="Times New Roman" w:hAnsi="Times New Roman" w:cs="Times New Roman"/>
          <w:color w:val="111111"/>
          <w:sz w:val="24"/>
          <w:szCs w:val="24"/>
          <w:lang w:val="ru-RU" w:eastAsia="ru-RU" w:bidi="ar-SA"/>
        </w:rPr>
        <w:t>.</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Развитие коммуникативных умений складывается из следующих основных навыков:</w:t>
      </w:r>
    </w:p>
    <w:p w:rsidR="001E1C90" w:rsidRPr="001E1C90" w:rsidRDefault="001E1C90" w:rsidP="001E1C90">
      <w:pPr>
        <w:numPr>
          <w:ilvl w:val="0"/>
          <w:numId w:val="10"/>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избегать конфликтных ситуаций;</w:t>
      </w:r>
    </w:p>
    <w:p w:rsidR="001E1C90" w:rsidRPr="001E1C90" w:rsidRDefault="001E1C90" w:rsidP="001E1C90">
      <w:pPr>
        <w:numPr>
          <w:ilvl w:val="0"/>
          <w:numId w:val="10"/>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внимательно слушать инвалида и слышать его;</w:t>
      </w:r>
    </w:p>
    <w:p w:rsidR="001E1C90" w:rsidRPr="001E1C90" w:rsidRDefault="001E1C90" w:rsidP="001E1C90">
      <w:pPr>
        <w:numPr>
          <w:ilvl w:val="0"/>
          <w:numId w:val="10"/>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регулировать собственные эмоции, возникающие в процессе взаимодействия;</w:t>
      </w:r>
    </w:p>
    <w:p w:rsidR="001E1C90" w:rsidRPr="001E1C90" w:rsidRDefault="001E1C90" w:rsidP="001E1C90">
      <w:pPr>
        <w:numPr>
          <w:ilvl w:val="0"/>
          <w:numId w:val="10"/>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обеспечивать высокую культуру и этику взаимоотношений;</w:t>
      </w:r>
    </w:p>
    <w:p w:rsidR="001E1C90" w:rsidRPr="001E1C90" w:rsidRDefault="001E1C90" w:rsidP="001E1C90">
      <w:pPr>
        <w:numPr>
          <w:ilvl w:val="0"/>
          <w:numId w:val="10"/>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цивилизовано противостоять манипулированию.</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Существуют общие правила этикета при общении с инвалидами, которыми могут воспользоваться работники организаций, предоставляющих услуги населению, в зависимости от конкретной ситуации: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1. Обращение к человеку</w:t>
      </w:r>
      <w:r w:rsidRPr="001E1C90">
        <w:rPr>
          <w:rFonts w:ascii="Times New Roman" w:eastAsia="Times New Roman" w:hAnsi="Times New Roman" w:cs="Times New Roman"/>
          <w:b/>
          <w:bCs/>
          <w:color w:val="111111"/>
          <w:sz w:val="24"/>
          <w:szCs w:val="24"/>
          <w:lang w:val="ru-RU" w:eastAsia="ru-RU" w:bidi="ar-SA"/>
        </w:rPr>
        <w:t>:</w:t>
      </w:r>
      <w:r w:rsidRPr="001E1C90">
        <w:rPr>
          <w:rFonts w:ascii="Times New Roman" w:eastAsia="Times New Roman" w:hAnsi="Times New Roman" w:cs="Times New Roman"/>
          <w:color w:val="111111"/>
          <w:sz w:val="24"/>
          <w:szCs w:val="24"/>
          <w:lang w:val="ru-RU" w:eastAsia="ru-RU" w:bidi="ar-SA"/>
        </w:rPr>
        <w:t xml:space="preserve"> когда вы разговариваете с инвалидом, обращайтесь непосредственно к нему, а не к сопровождающему или </w:t>
      </w:r>
      <w:proofErr w:type="spellStart"/>
      <w:r w:rsidRPr="001E1C90">
        <w:rPr>
          <w:rFonts w:ascii="Times New Roman" w:eastAsia="Times New Roman" w:hAnsi="Times New Roman" w:cs="Times New Roman"/>
          <w:color w:val="111111"/>
          <w:sz w:val="24"/>
          <w:szCs w:val="24"/>
          <w:lang w:val="ru-RU" w:eastAsia="ru-RU" w:bidi="ar-SA"/>
        </w:rPr>
        <w:t>сурдопереводчику</w:t>
      </w:r>
      <w:proofErr w:type="spellEnd"/>
      <w:r w:rsidRPr="001E1C90">
        <w:rPr>
          <w:rFonts w:ascii="Times New Roman" w:eastAsia="Times New Roman" w:hAnsi="Times New Roman" w:cs="Times New Roman"/>
          <w:color w:val="111111"/>
          <w:sz w:val="24"/>
          <w:szCs w:val="24"/>
          <w:lang w:val="ru-RU" w:eastAsia="ru-RU" w:bidi="ar-SA"/>
        </w:rPr>
        <w:t>, которые присутствуют при разговоре.</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2. Пожатие руки:</w:t>
      </w:r>
      <w:r w:rsidRPr="001E1C90">
        <w:rPr>
          <w:rFonts w:ascii="Times New Roman" w:eastAsia="Times New Roman" w:hAnsi="Times New Roman" w:cs="Times New Roman"/>
          <w:color w:val="111111"/>
          <w:sz w:val="24"/>
          <w:szCs w:val="24"/>
          <w:lang w:val="ru-RU" w:eastAsia="ru-RU" w:bidi="ar-SA"/>
        </w:rPr>
        <w:t>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 3. Называйте себя и других:</w:t>
      </w:r>
      <w:r w:rsidRPr="001E1C90">
        <w:rPr>
          <w:rFonts w:ascii="Times New Roman" w:eastAsia="Times New Roman" w:hAnsi="Times New Roman" w:cs="Times New Roman"/>
          <w:color w:val="111111"/>
          <w:sz w:val="24"/>
          <w:szCs w:val="24"/>
          <w:lang w:val="ru-RU" w:eastAsia="ru-RU" w:bidi="ar-SA"/>
        </w:rPr>
        <w:t>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4. Предложение помощи:</w:t>
      </w:r>
      <w:r w:rsidRPr="001E1C90">
        <w:rPr>
          <w:rFonts w:ascii="Times New Roman" w:eastAsia="Times New Roman" w:hAnsi="Times New Roman" w:cs="Times New Roman"/>
          <w:color w:val="111111"/>
          <w:sz w:val="24"/>
          <w:szCs w:val="24"/>
          <w:lang w:val="ru-RU" w:eastAsia="ru-RU" w:bidi="ar-SA"/>
        </w:rPr>
        <w:t> если вы предлагаете помощь, ждите, пока ее примут, а затем спрашивайте, что и как делать.</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5. </w:t>
      </w:r>
      <w:r w:rsidRPr="001E1C90">
        <w:rPr>
          <w:rFonts w:ascii="Times New Roman" w:eastAsia="Times New Roman" w:hAnsi="Times New Roman" w:cs="Times New Roman"/>
          <w:b/>
          <w:bCs/>
          <w:i/>
          <w:iCs/>
          <w:color w:val="111111"/>
          <w:sz w:val="24"/>
          <w:szCs w:val="24"/>
          <w:lang w:val="ru-RU" w:eastAsia="ru-RU" w:bidi="ar-SA"/>
        </w:rPr>
        <w:t>Адекватность и вежливость:</w:t>
      </w:r>
      <w:r w:rsidRPr="001E1C90">
        <w:rPr>
          <w:rFonts w:ascii="Times New Roman" w:eastAsia="Times New Roman" w:hAnsi="Times New Roman" w:cs="Times New Roman"/>
          <w:b/>
          <w:bCs/>
          <w:color w:val="111111"/>
          <w:sz w:val="24"/>
          <w:szCs w:val="24"/>
          <w:lang w:val="ru-RU" w:eastAsia="ru-RU" w:bidi="ar-SA"/>
        </w:rPr>
        <w:t> </w:t>
      </w:r>
      <w:r w:rsidRPr="001E1C90">
        <w:rPr>
          <w:rFonts w:ascii="Times New Roman" w:eastAsia="Times New Roman" w:hAnsi="Times New Roman" w:cs="Times New Roman"/>
          <w:color w:val="111111"/>
          <w:sz w:val="24"/>
          <w:szCs w:val="24"/>
          <w:lang w:val="ru-RU" w:eastAsia="ru-RU" w:bidi="ar-SA"/>
        </w:rPr>
        <w:t>обращайтесь с взрослыми инвалидами как с взрослыми. Обращайтесь к ним по имени и на ты, только если вы хорошо знакомы.</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6. </w:t>
      </w:r>
      <w:r w:rsidRPr="001E1C90">
        <w:rPr>
          <w:rFonts w:ascii="Times New Roman" w:eastAsia="Times New Roman" w:hAnsi="Times New Roman" w:cs="Times New Roman"/>
          <w:b/>
          <w:bCs/>
          <w:i/>
          <w:iCs/>
          <w:color w:val="111111"/>
          <w:sz w:val="24"/>
          <w:szCs w:val="24"/>
          <w:lang w:val="ru-RU" w:eastAsia="ru-RU" w:bidi="ar-SA"/>
        </w:rPr>
        <w:t>Не опирайтесь на кресло-коляску:</w:t>
      </w:r>
      <w:r w:rsidRPr="001E1C90">
        <w:rPr>
          <w:rFonts w:ascii="Times New Roman" w:eastAsia="Times New Roman" w:hAnsi="Times New Roman" w:cs="Times New Roman"/>
          <w:b/>
          <w:bCs/>
          <w:color w:val="111111"/>
          <w:sz w:val="24"/>
          <w:szCs w:val="24"/>
          <w:lang w:val="ru-RU" w:eastAsia="ru-RU" w:bidi="ar-SA"/>
        </w:rPr>
        <w:t> </w:t>
      </w:r>
      <w:r w:rsidRPr="001E1C90">
        <w:rPr>
          <w:rFonts w:ascii="Times New Roman" w:eastAsia="Times New Roman" w:hAnsi="Times New Roman" w:cs="Times New Roman"/>
          <w:color w:val="111111"/>
          <w:sz w:val="24"/>
          <w:szCs w:val="24"/>
          <w:lang w:val="ru-RU" w:eastAsia="ru-RU" w:bidi="ar-SA"/>
        </w:rPr>
        <w:t>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7. Внимательность и терпеливость</w:t>
      </w:r>
      <w:r w:rsidRPr="001E1C90">
        <w:rPr>
          <w:rFonts w:ascii="Times New Roman" w:eastAsia="Times New Roman" w:hAnsi="Times New Roman" w:cs="Times New Roman"/>
          <w:b/>
          <w:bCs/>
          <w:color w:val="111111"/>
          <w:sz w:val="24"/>
          <w:szCs w:val="24"/>
          <w:lang w:val="ru-RU" w:eastAsia="ru-RU" w:bidi="ar-SA"/>
        </w:rPr>
        <w:t>:</w:t>
      </w:r>
      <w:r w:rsidRPr="001E1C90">
        <w:rPr>
          <w:rFonts w:ascii="Times New Roman" w:eastAsia="Times New Roman" w:hAnsi="Times New Roman" w:cs="Times New Roman"/>
          <w:color w:val="111111"/>
          <w:sz w:val="24"/>
          <w:szCs w:val="24"/>
          <w:lang w:val="ru-RU" w:eastAsia="ru-RU" w:bidi="ar-SA"/>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8. Расположение для беседы:</w:t>
      </w:r>
      <w:r w:rsidRPr="001E1C90">
        <w:rPr>
          <w:rFonts w:ascii="Times New Roman" w:eastAsia="Times New Roman" w:hAnsi="Times New Roman" w:cs="Times New Roman"/>
          <w:color w:val="111111"/>
          <w:sz w:val="24"/>
          <w:szCs w:val="24"/>
          <w:lang w:val="ru-RU" w:eastAsia="ru-RU" w:bidi="ar-SA"/>
        </w:rPr>
        <w:t>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i/>
          <w:iCs/>
          <w:color w:val="111111"/>
          <w:sz w:val="24"/>
          <w:szCs w:val="24"/>
          <w:lang w:val="ru-RU" w:eastAsia="ru-RU" w:bidi="ar-SA"/>
        </w:rPr>
        <w:t>9. Привлечение внимания человека:</w:t>
      </w:r>
      <w:r w:rsidRPr="001E1C90">
        <w:rPr>
          <w:rFonts w:ascii="Times New Roman" w:eastAsia="Times New Roman" w:hAnsi="Times New Roman" w:cs="Times New Roman"/>
          <w:color w:val="111111"/>
          <w:sz w:val="24"/>
          <w:szCs w:val="24"/>
          <w:lang w:val="ru-RU" w:eastAsia="ru-RU" w:bidi="ar-SA"/>
        </w:rPr>
        <w:t>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10. </w:t>
      </w:r>
      <w:r w:rsidRPr="001E1C90">
        <w:rPr>
          <w:rFonts w:ascii="Times New Roman" w:eastAsia="Times New Roman" w:hAnsi="Times New Roman" w:cs="Times New Roman"/>
          <w:b/>
          <w:bCs/>
          <w:i/>
          <w:iCs/>
          <w:color w:val="111111"/>
          <w:sz w:val="24"/>
          <w:szCs w:val="24"/>
          <w:lang w:val="ru-RU" w:eastAsia="ru-RU" w:bidi="ar-SA"/>
        </w:rPr>
        <w:t>Не смущайтесь</w:t>
      </w:r>
      <w:r w:rsidRPr="001E1C90">
        <w:rPr>
          <w:rFonts w:ascii="Times New Roman" w:eastAsia="Times New Roman" w:hAnsi="Times New Roman" w:cs="Times New Roman"/>
          <w:b/>
          <w:bCs/>
          <w:color w:val="111111"/>
          <w:sz w:val="24"/>
          <w:szCs w:val="24"/>
          <w:lang w:val="ru-RU" w:eastAsia="ru-RU" w:bidi="ar-SA"/>
        </w:rPr>
        <w:t>,</w:t>
      </w:r>
      <w:r w:rsidRPr="001E1C90">
        <w:rPr>
          <w:rFonts w:ascii="Times New Roman" w:eastAsia="Times New Roman" w:hAnsi="Times New Roman" w:cs="Times New Roman"/>
          <w:color w:val="111111"/>
          <w:sz w:val="24"/>
          <w:szCs w:val="24"/>
          <w:lang w:val="ru-RU" w:eastAsia="ru-RU" w:bidi="ar-SA"/>
        </w:rPr>
        <w:t> если случайно допустили оплошность, сказав "Увидимся" или "Вы слышали об этом...?" тому, кто не может видеть или слышать.</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lastRenderedPageBreak/>
        <w:t>Правила этикета при общении с инвалидами, испытывающими трудности при передвижении:</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ваше предложение о помощи принято, спросите, что нужно делать, и четко следуйте инструкциям.</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надо хлопать человека, находящегося в инвалидной коляске, по спине или по плечу.</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существуют архитектурные барьеры, предупредите о них, чтобы человек имел возможность принимать решения заранее.</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Помните, что, как правило, у людей, имеющих трудности при передвижении, нет проблем со зрением, слухом и пониманием.</w:t>
      </w:r>
    </w:p>
    <w:p w:rsidR="001E1C90" w:rsidRPr="001E1C90" w:rsidRDefault="001E1C90" w:rsidP="001E1C90">
      <w:pPr>
        <w:numPr>
          <w:ilvl w:val="0"/>
          <w:numId w:val="11"/>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Правила этикета при общении с инвалидами, имеющими нарушение зрение или незрячими:</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Опишите кратко, где вы находитесь. Предупреждайте о препятствиях: ступенях, лужах, ямах, низких притолоках, трубах и т.п.</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Используйте, если это уместно, фразы, характеризующие звук, запах, расстояние. Делитесь увиденным.</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Обращайтесь с собаками-поводырями не так, как с обычными домашними животными. Не командуйте, не трогайте и не играйте с собакой-поводырем.</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Всегда обращайтесь непосредственно к человеку, даже если он вас не видит, а не к его зрячему компаньону.</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Всегда называйте себя и представляйте других собеседников, а также остальных присутствующих. Если вы хотите пожать руку, скажите об этом.</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lastRenderedPageBreak/>
        <w:t>Когда вы общаетесь с группой незрячих людей, не забывайте каждый раз называть того, к кому вы обращаетесь.</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заставляйте вашего собеседника вещать в пустоту: если вы перемещаетесь, предупредите его.</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Вполне нормально употреблять слово «смотреть». Для незрячего человека это означает «видеть руками», осязать.</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1E1C90" w:rsidRPr="001E1C90" w:rsidRDefault="001E1C90" w:rsidP="001E1C90">
      <w:pPr>
        <w:numPr>
          <w:ilvl w:val="0"/>
          <w:numId w:val="12"/>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Правила этикета при общении с инвалидами, имеющими  нарушение слуха:</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Говорите ясно и ровно. Не нужно излишне подчеркивать что-то. Кричать, особенно в ухо, тоже не надо.</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вас просят повторить что-то, попробуйте перефразировать свое предложение. Используйте жесты.</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Убедитесь, что вас поняли. Не стесняйтесь спросить, понял ли вас собеседник.</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существуют трудности при устном общении, спросите, не будет ли проще переписываться.</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Нужно смотреть в лицо собеседнику и говорить ясно и медленно, использовать простые фразы и избегать несущественных слов.</w:t>
      </w:r>
    </w:p>
    <w:p w:rsidR="001E1C90" w:rsidRPr="001E1C90" w:rsidRDefault="001E1C90" w:rsidP="001E1C90">
      <w:pPr>
        <w:numPr>
          <w:ilvl w:val="0"/>
          <w:numId w:val="13"/>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Нужно использовать выражение лица, жесты, телодвижения, если хотите подчеркнуть или прояснить смысл сказанного.</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Правила этикета при общении с инвалидами, имеющими  задержку в развитии и проблемы общения,  умственные нарушения:</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Используйте доступный язык, выражайтесь точно и по делу.</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Избегайте словесных штампов и образных выражений, если только вы не уверены в том, что ваш собеседник с ними знаком.</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говорите свысока. Не думайте, что вас не поймут.</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Исходите из того, что взрослый человек с задержкой в развитии имеет такой же опыт, как и любой другой взрослый человек.</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Обращайтесь непосредственно к человеку.</w:t>
      </w:r>
    </w:p>
    <w:p w:rsidR="001E1C90" w:rsidRPr="001E1C90" w:rsidRDefault="001E1C90" w:rsidP="001E1C90">
      <w:pPr>
        <w:numPr>
          <w:ilvl w:val="0"/>
          <w:numId w:val="14"/>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Правила этикета пи общении с инвалидами, имеющими психические нарушения: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1E1C90" w:rsidRPr="001E1C90" w:rsidRDefault="001E1C90" w:rsidP="001E1C90">
      <w:pPr>
        <w:numPr>
          <w:ilvl w:val="0"/>
          <w:numId w:val="15"/>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надо думать, что люди с психическими нарушениями обязательно нуждаются в дополнительной помощи и специальном обращении.</w:t>
      </w:r>
    </w:p>
    <w:p w:rsidR="001E1C90" w:rsidRPr="001E1C90" w:rsidRDefault="001E1C90" w:rsidP="001E1C90">
      <w:pPr>
        <w:numPr>
          <w:ilvl w:val="0"/>
          <w:numId w:val="15"/>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1E1C90" w:rsidRPr="001E1C90" w:rsidRDefault="001E1C90" w:rsidP="001E1C90">
      <w:pPr>
        <w:numPr>
          <w:ilvl w:val="0"/>
          <w:numId w:val="15"/>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1E1C90" w:rsidRPr="001E1C90" w:rsidRDefault="001E1C90" w:rsidP="001E1C90">
      <w:pPr>
        <w:numPr>
          <w:ilvl w:val="0"/>
          <w:numId w:val="15"/>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Неверно, что люди с психическими нарушениями имеют проблемы в понимании или ниже по уровню интеллекта, чем большинство людей.</w:t>
      </w:r>
    </w:p>
    <w:p w:rsidR="001E1C90" w:rsidRPr="001E1C90" w:rsidRDefault="001E1C90" w:rsidP="001E1C90">
      <w:pPr>
        <w:numPr>
          <w:ilvl w:val="0"/>
          <w:numId w:val="15"/>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человек, имеющий психические нарушения, расстроен, спросите его спокойно, что вы можете сделать, чтобы помочь ему.</w:t>
      </w:r>
    </w:p>
    <w:p w:rsidR="001E1C90" w:rsidRPr="001E1C90" w:rsidRDefault="001E1C90" w:rsidP="001E1C90">
      <w:pPr>
        <w:numPr>
          <w:ilvl w:val="0"/>
          <w:numId w:val="15"/>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говорите резко с человеком, имеющим психические нарушения, даже если у вас есть для этого основания.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Правила этикета при общении с инвалидом, испытывающим затруднения в речи:</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игнорируйте людей, которым трудно говорить, потому что понять их — в ваших интересах.</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Смотрите в лицо собеседнику, поддерживайте визуальный контакт. Отдайте этой беседе все ваше внимание.</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думайте, что затруднения в речи — показатель низкого уровня интеллекта человека.</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Старайтесь задавать вопросы, которые требуют коротких ответов или кивка.</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Не забывайте, что человеку с нарушенной речью тоже нужно высказаться. Не перебивайте его и не подавляйте. Не торопите говорящего.</w:t>
      </w:r>
    </w:p>
    <w:p w:rsidR="001E1C90" w:rsidRPr="001E1C90" w:rsidRDefault="001E1C90" w:rsidP="001E1C90">
      <w:pPr>
        <w:numPr>
          <w:ilvl w:val="0"/>
          <w:numId w:val="16"/>
        </w:numPr>
        <w:ind w:left="0"/>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Если у вас возникают проблемы в общении, спросите, не хочет ли ваш собеседник использовать другой способ — написать, напечатать.</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bookmarkStart w:id="1" w:name="_Hlk415540733"/>
      <w:r w:rsidRPr="001E1C90">
        <w:rPr>
          <w:rFonts w:ascii="Times New Roman" w:eastAsia="Times New Roman" w:hAnsi="Times New Roman" w:cs="Times New Roman"/>
          <w:b/>
          <w:bCs/>
          <w:color w:val="024C8B"/>
          <w:sz w:val="24"/>
          <w:szCs w:val="24"/>
          <w:lang w:val="ru-RU" w:eastAsia="ru-RU" w:bidi="ar-SA"/>
        </w:rPr>
        <w:t>Обеспечение доступности для инвалидов государственных и муниципальных услуг</w:t>
      </w:r>
      <w:bookmarkEnd w:id="1"/>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Согласно Федеральному закону от 27 июля 2010г. № 210-ФЗ «Об организации предоставления государственных и муниципальных услуг» (далее – Закон № 210-ФЗ)</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государственные услуги</w:t>
      </w:r>
      <w:r w:rsidRPr="001E1C90">
        <w:rPr>
          <w:rFonts w:ascii="Times New Roman" w:eastAsia="Times New Roman" w:hAnsi="Times New Roman" w:cs="Times New Roman"/>
          <w:color w:val="111111"/>
          <w:sz w:val="24"/>
          <w:szCs w:val="24"/>
          <w:lang w:val="ru-RU" w:eastAsia="ru-RU" w:bidi="ar-SA"/>
        </w:rPr>
        <w:t> – это деятельность по реализации функций органов исполнительной власти, а также государственных внебюджетных фондов, осуществляемая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муниципальные услуги</w:t>
      </w:r>
      <w:r w:rsidRPr="001E1C90">
        <w:rPr>
          <w:rFonts w:ascii="Times New Roman" w:eastAsia="Times New Roman" w:hAnsi="Times New Roman" w:cs="Times New Roman"/>
          <w:color w:val="111111"/>
          <w:sz w:val="24"/>
          <w:szCs w:val="24"/>
          <w:lang w:val="ru-RU" w:eastAsia="ru-RU" w:bidi="ar-SA"/>
        </w:rPr>
        <w:t> – это деятельность по реализации функций органов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законодательстве.</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Государственные услуги предоставляются следующими субъектами: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1) федеральными органами исполнительной власти,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2) органами исполнительной власти субъектов Российской Федерации,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3) органами государственных внебюджетных фондов,</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4) муниципальными органами (органами местного самоуправления) –  при осуществлении отдельных государственных полномочий, переданных федеральными законами и законами субъектов Российской Федерации.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В деятельность по оказанию государственных и муниципальных услуг могут быть вовлечены подведомственные государственным органам или органам местного самоуправления организации, а также многофункциональные центры.</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xml:space="preserve">Государственные и муниципальные услуги могут предоставляться в устной (предоставление данных услуг методом </w:t>
      </w:r>
      <w:proofErr w:type="spellStart"/>
      <w:r w:rsidRPr="001E1C90">
        <w:rPr>
          <w:rFonts w:ascii="Times New Roman" w:eastAsia="Times New Roman" w:hAnsi="Times New Roman" w:cs="Times New Roman"/>
          <w:color w:val="111111"/>
          <w:sz w:val="24"/>
          <w:szCs w:val="24"/>
          <w:lang w:val="ru-RU" w:eastAsia="ru-RU" w:bidi="ar-SA"/>
        </w:rPr>
        <w:t>сурдоперевода</w:t>
      </w:r>
      <w:proofErr w:type="spellEnd"/>
      <w:r w:rsidRPr="001E1C90">
        <w:rPr>
          <w:rFonts w:ascii="Times New Roman" w:eastAsia="Times New Roman" w:hAnsi="Times New Roman" w:cs="Times New Roman"/>
          <w:color w:val="111111"/>
          <w:sz w:val="24"/>
          <w:szCs w:val="24"/>
          <w:lang w:val="ru-RU" w:eastAsia="ru-RU" w:bidi="ar-SA"/>
        </w:rPr>
        <w:t xml:space="preserve"> и </w:t>
      </w:r>
      <w:proofErr w:type="spellStart"/>
      <w:r w:rsidRPr="001E1C90">
        <w:rPr>
          <w:rFonts w:ascii="Times New Roman" w:eastAsia="Times New Roman" w:hAnsi="Times New Roman" w:cs="Times New Roman"/>
          <w:color w:val="111111"/>
          <w:sz w:val="24"/>
          <w:szCs w:val="24"/>
          <w:lang w:val="ru-RU" w:eastAsia="ru-RU" w:bidi="ar-SA"/>
        </w:rPr>
        <w:t>тифлосурдоперевода</w:t>
      </w:r>
      <w:proofErr w:type="spellEnd"/>
      <w:r w:rsidRPr="001E1C90">
        <w:rPr>
          <w:rFonts w:ascii="Times New Roman" w:eastAsia="Times New Roman" w:hAnsi="Times New Roman" w:cs="Times New Roman"/>
          <w:color w:val="111111"/>
          <w:sz w:val="24"/>
          <w:szCs w:val="24"/>
          <w:lang w:val="ru-RU" w:eastAsia="ru-RU" w:bidi="ar-SA"/>
        </w:rPr>
        <w:t xml:space="preserve"> можно считать разновидностью устной формы предоставления), письменной или электронной форме на основании запроса о предоставлении соответствующей услуги, который может быть выражен также в устной, письменной или электронной форме.</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Предоставление данных услуг в электронной форме осуществляется с использованием информационно-телекоммуникационных технологий – порталов государственных и муниципальных услуг (единого портала и (или) региональных), универсальной электронной карты и подразумевает, помимо прочего, электронное взаимодействие между государственными органами, органами местного самоуправления, организациями и заявителями. Также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РФ.</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b/>
          <w:bCs/>
          <w:color w:val="111111"/>
          <w:sz w:val="24"/>
          <w:szCs w:val="24"/>
          <w:lang w:val="ru-RU" w:eastAsia="ru-RU" w:bidi="ar-SA"/>
        </w:rPr>
        <w:t>Получателями государственных и муниципальных услуг признаются</w:t>
      </w:r>
      <w:r w:rsidRPr="001E1C90">
        <w:rPr>
          <w:rFonts w:ascii="Times New Roman" w:eastAsia="Times New Roman" w:hAnsi="Times New Roman" w:cs="Times New Roman"/>
          <w:color w:val="111111"/>
          <w:sz w:val="24"/>
          <w:szCs w:val="24"/>
          <w:lang w:val="ru-RU" w:eastAsia="ru-RU" w:bidi="ar-SA"/>
        </w:rPr>
        <w:t> физические и юридические лица, которые за предоставлением соответствующей услуги могут обращаться через своего представителя.</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Нормативно-правовое регулирование предоставления государственных услуг осуществляется на двух уровнях – федеральном и региональном. Предоставление муниципальных услуг регламентируется федеральными и муниципальными правовыми актами.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u w:val="single"/>
          <w:lang w:val="ru-RU" w:eastAsia="ru-RU" w:bidi="ar-SA"/>
        </w:rPr>
        <w:t>Непосредственный порядок предоставления конкретной государственной или муниципальной услуги устанавливается в административном регламенте</w:t>
      </w:r>
      <w:r w:rsidRPr="001E1C90">
        <w:rPr>
          <w:rFonts w:ascii="Times New Roman" w:eastAsia="Times New Roman" w:hAnsi="Times New Roman" w:cs="Times New Roman"/>
          <w:color w:val="111111"/>
          <w:sz w:val="24"/>
          <w:szCs w:val="24"/>
          <w:lang w:val="ru-RU" w:eastAsia="ru-RU" w:bidi="ar-SA"/>
        </w:rPr>
        <w:t> (Применительно к муниципальным услугам на практике (в обиходе) зачастую применяется термин «регламент муниципальной услуги»).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Многофункциональными центрами могут одновременно оказываться как государственные, так и муниципальные услуги.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 </w:t>
      </w:r>
      <w:r w:rsidRPr="001E1C90">
        <w:rPr>
          <w:rFonts w:ascii="Times New Roman" w:eastAsia="Times New Roman" w:hAnsi="Times New Roman" w:cs="Times New Roman"/>
          <w:b/>
          <w:bCs/>
          <w:color w:val="111111"/>
          <w:sz w:val="24"/>
          <w:szCs w:val="24"/>
          <w:lang w:val="ru-RU" w:eastAsia="ru-RU" w:bidi="ar-SA"/>
        </w:rPr>
        <w:t>Главной особенностью деятельности МФЦ является реализация принципа «одного окна»,</w:t>
      </w:r>
      <w:r w:rsidRPr="001E1C90">
        <w:rPr>
          <w:rFonts w:ascii="Times New Roman" w:eastAsia="Times New Roman" w:hAnsi="Times New Roman" w:cs="Times New Roman"/>
          <w:color w:val="111111"/>
          <w:sz w:val="24"/>
          <w:szCs w:val="24"/>
          <w:lang w:val="ru-RU" w:eastAsia="ru-RU" w:bidi="ar-SA"/>
        </w:rPr>
        <w:t> в соответствии с которым предоставление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1E1C90" w:rsidRPr="001E1C90" w:rsidRDefault="001E1C90" w:rsidP="001E1C90">
      <w:pPr>
        <w:jc w:val="both"/>
        <w:rPr>
          <w:rFonts w:ascii="Times New Roman" w:eastAsia="Times New Roman" w:hAnsi="Times New Roman" w:cs="Times New Roman"/>
          <w:color w:val="111111"/>
          <w:sz w:val="24"/>
          <w:szCs w:val="24"/>
          <w:lang w:val="ru-RU" w:eastAsia="ru-RU" w:bidi="ar-SA"/>
        </w:rPr>
      </w:pPr>
      <w:r w:rsidRPr="001E1C90">
        <w:rPr>
          <w:rFonts w:ascii="Times New Roman" w:eastAsia="Times New Roman" w:hAnsi="Times New Roman" w:cs="Times New Roman"/>
          <w:color w:val="111111"/>
          <w:sz w:val="24"/>
          <w:szCs w:val="24"/>
          <w:lang w:val="ru-RU" w:eastAsia="ru-RU" w:bidi="ar-SA"/>
        </w:rPr>
        <w:t>Данный принцип, предполагающий удобство и оперативность получения услуги, делает для инвалидов получение услуг в МФЦ не просто желательным, а зачастую единственно возможным.</w:t>
      </w:r>
    </w:p>
    <w:p w:rsidR="00C00257" w:rsidRPr="001E1C90" w:rsidRDefault="00C00257" w:rsidP="001E1C90">
      <w:pPr>
        <w:jc w:val="both"/>
        <w:rPr>
          <w:rFonts w:ascii="Times New Roman" w:hAnsi="Times New Roman" w:cs="Times New Roman"/>
          <w:sz w:val="24"/>
          <w:szCs w:val="24"/>
          <w:lang w:val="ru-RU"/>
        </w:rPr>
      </w:pPr>
    </w:p>
    <w:sectPr w:rsidR="00C00257" w:rsidRPr="001E1C90" w:rsidSect="00C002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2B96"/>
    <w:multiLevelType w:val="multilevel"/>
    <w:tmpl w:val="BFEE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665C3"/>
    <w:multiLevelType w:val="multilevel"/>
    <w:tmpl w:val="674C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FC336C"/>
    <w:multiLevelType w:val="multilevel"/>
    <w:tmpl w:val="FA9E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A86268"/>
    <w:multiLevelType w:val="multilevel"/>
    <w:tmpl w:val="D6F2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C4248"/>
    <w:multiLevelType w:val="multilevel"/>
    <w:tmpl w:val="F27C2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1C4907"/>
    <w:multiLevelType w:val="multilevel"/>
    <w:tmpl w:val="B242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AA7E3F"/>
    <w:multiLevelType w:val="multilevel"/>
    <w:tmpl w:val="173E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303D8"/>
    <w:multiLevelType w:val="multilevel"/>
    <w:tmpl w:val="544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124CEE"/>
    <w:multiLevelType w:val="multilevel"/>
    <w:tmpl w:val="1F4C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B51446"/>
    <w:multiLevelType w:val="multilevel"/>
    <w:tmpl w:val="107A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7B3BAD"/>
    <w:multiLevelType w:val="multilevel"/>
    <w:tmpl w:val="42CA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7A507B"/>
    <w:multiLevelType w:val="multilevel"/>
    <w:tmpl w:val="80CA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F63BCB"/>
    <w:multiLevelType w:val="multilevel"/>
    <w:tmpl w:val="1E00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4332BB"/>
    <w:multiLevelType w:val="multilevel"/>
    <w:tmpl w:val="E090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54080F"/>
    <w:multiLevelType w:val="multilevel"/>
    <w:tmpl w:val="91D4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0150BF"/>
    <w:multiLevelType w:val="multilevel"/>
    <w:tmpl w:val="CBC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6"/>
  </w:num>
  <w:num w:numId="4">
    <w:abstractNumId w:val="1"/>
  </w:num>
  <w:num w:numId="5">
    <w:abstractNumId w:val="9"/>
  </w:num>
  <w:num w:numId="6">
    <w:abstractNumId w:val="13"/>
  </w:num>
  <w:num w:numId="7">
    <w:abstractNumId w:val="4"/>
  </w:num>
  <w:num w:numId="8">
    <w:abstractNumId w:val="7"/>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11"/>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334D6"/>
    <w:rsid w:val="000F31D4"/>
    <w:rsid w:val="001557BA"/>
    <w:rsid w:val="001E1C90"/>
    <w:rsid w:val="00A707CC"/>
    <w:rsid w:val="00B752BA"/>
    <w:rsid w:val="00C00257"/>
    <w:rsid w:val="00CA51A9"/>
    <w:rsid w:val="00D334D6"/>
    <w:rsid w:val="00F80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2BA"/>
  </w:style>
  <w:style w:type="paragraph" w:styleId="1">
    <w:name w:val="heading 1"/>
    <w:basedOn w:val="a"/>
    <w:next w:val="a"/>
    <w:link w:val="10"/>
    <w:uiPriority w:val="9"/>
    <w:qFormat/>
    <w:rsid w:val="00B752BA"/>
    <w:pPr>
      <w:spacing w:before="300" w:after="40"/>
      <w:outlineLvl w:val="0"/>
    </w:pPr>
    <w:rPr>
      <w:smallCaps/>
      <w:spacing w:val="5"/>
      <w:sz w:val="32"/>
      <w:szCs w:val="32"/>
    </w:rPr>
  </w:style>
  <w:style w:type="paragraph" w:styleId="2">
    <w:name w:val="heading 2"/>
    <w:basedOn w:val="a"/>
    <w:next w:val="a"/>
    <w:link w:val="20"/>
    <w:uiPriority w:val="9"/>
    <w:semiHidden/>
    <w:unhideWhenUsed/>
    <w:qFormat/>
    <w:rsid w:val="00B752BA"/>
    <w:pPr>
      <w:spacing w:before="240" w:after="80"/>
      <w:outlineLvl w:val="1"/>
    </w:pPr>
    <w:rPr>
      <w:smallCaps/>
      <w:spacing w:val="5"/>
      <w:sz w:val="28"/>
      <w:szCs w:val="28"/>
    </w:rPr>
  </w:style>
  <w:style w:type="paragraph" w:styleId="3">
    <w:name w:val="heading 3"/>
    <w:basedOn w:val="a"/>
    <w:next w:val="a"/>
    <w:link w:val="30"/>
    <w:uiPriority w:val="9"/>
    <w:semiHidden/>
    <w:unhideWhenUsed/>
    <w:qFormat/>
    <w:rsid w:val="00B752BA"/>
    <w:pPr>
      <w:outlineLvl w:val="2"/>
    </w:pPr>
    <w:rPr>
      <w:smallCaps/>
      <w:spacing w:val="5"/>
      <w:sz w:val="24"/>
      <w:szCs w:val="24"/>
    </w:rPr>
  </w:style>
  <w:style w:type="paragraph" w:styleId="4">
    <w:name w:val="heading 4"/>
    <w:basedOn w:val="a"/>
    <w:next w:val="a"/>
    <w:link w:val="40"/>
    <w:uiPriority w:val="9"/>
    <w:semiHidden/>
    <w:unhideWhenUsed/>
    <w:qFormat/>
    <w:rsid w:val="00B752BA"/>
    <w:pPr>
      <w:spacing w:before="240"/>
      <w:outlineLvl w:val="3"/>
    </w:pPr>
    <w:rPr>
      <w:smallCaps/>
      <w:spacing w:val="10"/>
      <w:sz w:val="22"/>
      <w:szCs w:val="22"/>
    </w:rPr>
  </w:style>
  <w:style w:type="paragraph" w:styleId="5">
    <w:name w:val="heading 5"/>
    <w:basedOn w:val="a"/>
    <w:next w:val="a"/>
    <w:link w:val="50"/>
    <w:uiPriority w:val="9"/>
    <w:semiHidden/>
    <w:unhideWhenUsed/>
    <w:qFormat/>
    <w:rsid w:val="00B752BA"/>
    <w:pPr>
      <w:spacing w:before="200"/>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B752BA"/>
    <w:pPr>
      <w:outlineLvl w:val="5"/>
    </w:pPr>
    <w:rPr>
      <w:smallCaps/>
      <w:color w:val="C0504D" w:themeColor="accent2"/>
      <w:spacing w:val="5"/>
      <w:sz w:val="22"/>
    </w:rPr>
  </w:style>
  <w:style w:type="paragraph" w:styleId="7">
    <w:name w:val="heading 7"/>
    <w:basedOn w:val="a"/>
    <w:next w:val="a"/>
    <w:link w:val="70"/>
    <w:uiPriority w:val="9"/>
    <w:semiHidden/>
    <w:unhideWhenUsed/>
    <w:qFormat/>
    <w:rsid w:val="00B752BA"/>
    <w:pPr>
      <w:outlineLvl w:val="6"/>
    </w:pPr>
    <w:rPr>
      <w:b/>
      <w:smallCaps/>
      <w:color w:val="C0504D" w:themeColor="accent2"/>
      <w:spacing w:val="10"/>
    </w:rPr>
  </w:style>
  <w:style w:type="paragraph" w:styleId="8">
    <w:name w:val="heading 8"/>
    <w:basedOn w:val="a"/>
    <w:next w:val="a"/>
    <w:link w:val="80"/>
    <w:uiPriority w:val="9"/>
    <w:semiHidden/>
    <w:unhideWhenUsed/>
    <w:qFormat/>
    <w:rsid w:val="00B752BA"/>
    <w:pPr>
      <w:outlineLvl w:val="7"/>
    </w:pPr>
    <w:rPr>
      <w:b/>
      <w:i/>
      <w:smallCaps/>
      <w:color w:val="943634" w:themeColor="accent2" w:themeShade="BF"/>
    </w:rPr>
  </w:style>
  <w:style w:type="paragraph" w:styleId="9">
    <w:name w:val="heading 9"/>
    <w:basedOn w:val="a"/>
    <w:next w:val="a"/>
    <w:link w:val="90"/>
    <w:uiPriority w:val="9"/>
    <w:semiHidden/>
    <w:unhideWhenUsed/>
    <w:qFormat/>
    <w:rsid w:val="00B752BA"/>
    <w:pPr>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52BA"/>
    <w:rPr>
      <w:smallCaps/>
      <w:spacing w:val="5"/>
      <w:sz w:val="32"/>
      <w:szCs w:val="32"/>
    </w:rPr>
  </w:style>
  <w:style w:type="character" w:customStyle="1" w:styleId="20">
    <w:name w:val="Заголовок 2 Знак"/>
    <w:basedOn w:val="a0"/>
    <w:link w:val="2"/>
    <w:uiPriority w:val="9"/>
    <w:semiHidden/>
    <w:rsid w:val="00B752BA"/>
    <w:rPr>
      <w:smallCaps/>
      <w:spacing w:val="5"/>
      <w:sz w:val="28"/>
      <w:szCs w:val="28"/>
    </w:rPr>
  </w:style>
  <w:style w:type="character" w:customStyle="1" w:styleId="30">
    <w:name w:val="Заголовок 3 Знак"/>
    <w:basedOn w:val="a0"/>
    <w:link w:val="3"/>
    <w:uiPriority w:val="9"/>
    <w:semiHidden/>
    <w:rsid w:val="00B752BA"/>
    <w:rPr>
      <w:smallCaps/>
      <w:spacing w:val="5"/>
      <w:sz w:val="24"/>
      <w:szCs w:val="24"/>
    </w:rPr>
  </w:style>
  <w:style w:type="character" w:customStyle="1" w:styleId="40">
    <w:name w:val="Заголовок 4 Знак"/>
    <w:basedOn w:val="a0"/>
    <w:link w:val="4"/>
    <w:uiPriority w:val="9"/>
    <w:semiHidden/>
    <w:rsid w:val="00B752BA"/>
    <w:rPr>
      <w:smallCaps/>
      <w:spacing w:val="10"/>
      <w:sz w:val="22"/>
      <w:szCs w:val="22"/>
    </w:rPr>
  </w:style>
  <w:style w:type="character" w:customStyle="1" w:styleId="50">
    <w:name w:val="Заголовок 5 Знак"/>
    <w:basedOn w:val="a0"/>
    <w:link w:val="5"/>
    <w:uiPriority w:val="9"/>
    <w:semiHidden/>
    <w:rsid w:val="00B752BA"/>
    <w:rPr>
      <w:smallCaps/>
      <w:color w:val="943634" w:themeColor="accent2" w:themeShade="BF"/>
      <w:spacing w:val="10"/>
      <w:sz w:val="22"/>
      <w:szCs w:val="26"/>
    </w:rPr>
  </w:style>
  <w:style w:type="character" w:customStyle="1" w:styleId="60">
    <w:name w:val="Заголовок 6 Знак"/>
    <w:basedOn w:val="a0"/>
    <w:link w:val="6"/>
    <w:uiPriority w:val="9"/>
    <w:semiHidden/>
    <w:rsid w:val="00B752BA"/>
    <w:rPr>
      <w:smallCaps/>
      <w:color w:val="C0504D" w:themeColor="accent2"/>
      <w:spacing w:val="5"/>
      <w:sz w:val="22"/>
    </w:rPr>
  </w:style>
  <w:style w:type="character" w:customStyle="1" w:styleId="70">
    <w:name w:val="Заголовок 7 Знак"/>
    <w:basedOn w:val="a0"/>
    <w:link w:val="7"/>
    <w:uiPriority w:val="9"/>
    <w:semiHidden/>
    <w:rsid w:val="00B752BA"/>
    <w:rPr>
      <w:b/>
      <w:smallCaps/>
      <w:color w:val="C0504D" w:themeColor="accent2"/>
      <w:spacing w:val="10"/>
    </w:rPr>
  </w:style>
  <w:style w:type="character" w:customStyle="1" w:styleId="80">
    <w:name w:val="Заголовок 8 Знак"/>
    <w:basedOn w:val="a0"/>
    <w:link w:val="8"/>
    <w:uiPriority w:val="9"/>
    <w:semiHidden/>
    <w:rsid w:val="00B752BA"/>
    <w:rPr>
      <w:b/>
      <w:i/>
      <w:smallCaps/>
      <w:color w:val="943634" w:themeColor="accent2" w:themeShade="BF"/>
    </w:rPr>
  </w:style>
  <w:style w:type="character" w:customStyle="1" w:styleId="90">
    <w:name w:val="Заголовок 9 Знак"/>
    <w:basedOn w:val="a0"/>
    <w:link w:val="9"/>
    <w:uiPriority w:val="9"/>
    <w:semiHidden/>
    <w:rsid w:val="00B752BA"/>
    <w:rPr>
      <w:b/>
      <w:i/>
      <w:smallCaps/>
      <w:color w:val="622423" w:themeColor="accent2" w:themeShade="7F"/>
    </w:rPr>
  </w:style>
  <w:style w:type="paragraph" w:styleId="a3">
    <w:name w:val="caption"/>
    <w:basedOn w:val="a"/>
    <w:next w:val="a"/>
    <w:uiPriority w:val="35"/>
    <w:semiHidden/>
    <w:unhideWhenUsed/>
    <w:qFormat/>
    <w:rsid w:val="00B752BA"/>
    <w:rPr>
      <w:b/>
      <w:bCs/>
      <w:caps/>
      <w:sz w:val="16"/>
      <w:szCs w:val="18"/>
    </w:rPr>
  </w:style>
  <w:style w:type="paragraph" w:styleId="a4">
    <w:name w:val="Title"/>
    <w:basedOn w:val="a"/>
    <w:next w:val="a"/>
    <w:link w:val="a5"/>
    <w:uiPriority w:val="10"/>
    <w:qFormat/>
    <w:rsid w:val="00B752BA"/>
    <w:pPr>
      <w:pBdr>
        <w:top w:val="single" w:sz="12" w:space="1" w:color="C0504D" w:themeColor="accent2"/>
      </w:pBdr>
      <w:jc w:val="right"/>
    </w:pPr>
    <w:rPr>
      <w:smallCaps/>
      <w:sz w:val="48"/>
      <w:szCs w:val="48"/>
    </w:rPr>
  </w:style>
  <w:style w:type="character" w:customStyle="1" w:styleId="a5">
    <w:name w:val="Название Знак"/>
    <w:basedOn w:val="a0"/>
    <w:link w:val="a4"/>
    <w:uiPriority w:val="10"/>
    <w:rsid w:val="00B752BA"/>
    <w:rPr>
      <w:smallCaps/>
      <w:sz w:val="48"/>
      <w:szCs w:val="48"/>
    </w:rPr>
  </w:style>
  <w:style w:type="paragraph" w:styleId="a6">
    <w:name w:val="Subtitle"/>
    <w:basedOn w:val="a"/>
    <w:next w:val="a"/>
    <w:link w:val="a7"/>
    <w:uiPriority w:val="11"/>
    <w:qFormat/>
    <w:rsid w:val="00B752BA"/>
    <w:pPr>
      <w:spacing w:after="720"/>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B752BA"/>
    <w:rPr>
      <w:rFonts w:asciiTheme="majorHAnsi" w:eastAsiaTheme="majorEastAsia" w:hAnsiTheme="majorHAnsi" w:cstheme="majorBidi"/>
      <w:szCs w:val="22"/>
    </w:rPr>
  </w:style>
  <w:style w:type="character" w:styleId="a8">
    <w:name w:val="Strong"/>
    <w:uiPriority w:val="22"/>
    <w:qFormat/>
    <w:rsid w:val="00B752BA"/>
    <w:rPr>
      <w:b/>
      <w:color w:val="C0504D" w:themeColor="accent2"/>
    </w:rPr>
  </w:style>
  <w:style w:type="character" w:styleId="a9">
    <w:name w:val="Emphasis"/>
    <w:uiPriority w:val="20"/>
    <w:qFormat/>
    <w:rsid w:val="00B752BA"/>
    <w:rPr>
      <w:b/>
      <w:i/>
      <w:spacing w:val="10"/>
    </w:rPr>
  </w:style>
  <w:style w:type="paragraph" w:styleId="aa">
    <w:name w:val="No Spacing"/>
    <w:basedOn w:val="a"/>
    <w:link w:val="ab"/>
    <w:uiPriority w:val="1"/>
    <w:qFormat/>
    <w:rsid w:val="00B752BA"/>
  </w:style>
  <w:style w:type="character" w:customStyle="1" w:styleId="ab">
    <w:name w:val="Без интервала Знак"/>
    <w:basedOn w:val="a0"/>
    <w:link w:val="aa"/>
    <w:uiPriority w:val="1"/>
    <w:rsid w:val="00B752BA"/>
  </w:style>
  <w:style w:type="paragraph" w:styleId="ac">
    <w:name w:val="List Paragraph"/>
    <w:basedOn w:val="a"/>
    <w:uiPriority w:val="34"/>
    <w:qFormat/>
    <w:rsid w:val="00B752BA"/>
    <w:pPr>
      <w:ind w:left="720"/>
      <w:contextualSpacing/>
    </w:pPr>
  </w:style>
  <w:style w:type="paragraph" w:styleId="21">
    <w:name w:val="Quote"/>
    <w:basedOn w:val="a"/>
    <w:next w:val="a"/>
    <w:link w:val="22"/>
    <w:uiPriority w:val="29"/>
    <w:qFormat/>
    <w:rsid w:val="00B752BA"/>
    <w:rPr>
      <w:i/>
    </w:rPr>
  </w:style>
  <w:style w:type="character" w:customStyle="1" w:styleId="22">
    <w:name w:val="Цитата 2 Знак"/>
    <w:basedOn w:val="a0"/>
    <w:link w:val="21"/>
    <w:uiPriority w:val="29"/>
    <w:rsid w:val="00B752BA"/>
    <w:rPr>
      <w:i/>
    </w:rPr>
  </w:style>
  <w:style w:type="paragraph" w:styleId="ad">
    <w:name w:val="Intense Quote"/>
    <w:basedOn w:val="a"/>
    <w:next w:val="a"/>
    <w:link w:val="ae"/>
    <w:uiPriority w:val="30"/>
    <w:qFormat/>
    <w:rsid w:val="00B752B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B752BA"/>
    <w:rPr>
      <w:b/>
      <w:i/>
      <w:color w:val="FFFFFF" w:themeColor="background1"/>
      <w:shd w:val="clear" w:color="auto" w:fill="C0504D" w:themeFill="accent2"/>
    </w:rPr>
  </w:style>
  <w:style w:type="character" w:styleId="af">
    <w:name w:val="Subtle Emphasis"/>
    <w:uiPriority w:val="19"/>
    <w:qFormat/>
    <w:rsid w:val="00B752BA"/>
    <w:rPr>
      <w:i/>
    </w:rPr>
  </w:style>
  <w:style w:type="character" w:styleId="af0">
    <w:name w:val="Intense Emphasis"/>
    <w:uiPriority w:val="21"/>
    <w:qFormat/>
    <w:rsid w:val="00B752BA"/>
    <w:rPr>
      <w:b/>
      <w:i/>
      <w:color w:val="C0504D" w:themeColor="accent2"/>
      <w:spacing w:val="10"/>
    </w:rPr>
  </w:style>
  <w:style w:type="character" w:styleId="af1">
    <w:name w:val="Subtle Reference"/>
    <w:uiPriority w:val="31"/>
    <w:qFormat/>
    <w:rsid w:val="00B752BA"/>
    <w:rPr>
      <w:b/>
    </w:rPr>
  </w:style>
  <w:style w:type="character" w:styleId="af2">
    <w:name w:val="Intense Reference"/>
    <w:uiPriority w:val="32"/>
    <w:qFormat/>
    <w:rsid w:val="00B752BA"/>
    <w:rPr>
      <w:b/>
      <w:bCs/>
      <w:smallCaps/>
      <w:spacing w:val="5"/>
      <w:sz w:val="22"/>
      <w:szCs w:val="22"/>
      <w:u w:val="single"/>
    </w:rPr>
  </w:style>
  <w:style w:type="character" w:styleId="af3">
    <w:name w:val="Book Title"/>
    <w:uiPriority w:val="33"/>
    <w:qFormat/>
    <w:rsid w:val="00B752BA"/>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B752BA"/>
    <w:pPr>
      <w:outlineLvl w:val="9"/>
    </w:pPr>
  </w:style>
  <w:style w:type="paragraph" w:styleId="af5">
    <w:name w:val="Normal (Web)"/>
    <w:basedOn w:val="a"/>
    <w:uiPriority w:val="99"/>
    <w:unhideWhenUsed/>
    <w:rsid w:val="001E1C90"/>
    <w:pPr>
      <w:spacing w:before="100" w:beforeAutospacing="1" w:after="100" w:afterAutospacing="1"/>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497762362">
      <w:bodyDiv w:val="1"/>
      <w:marLeft w:val="0"/>
      <w:marRight w:val="0"/>
      <w:marTop w:val="0"/>
      <w:marBottom w:val="0"/>
      <w:divBdr>
        <w:top w:val="none" w:sz="0" w:space="0" w:color="auto"/>
        <w:left w:val="none" w:sz="0" w:space="0" w:color="auto"/>
        <w:bottom w:val="none" w:sz="0" w:space="0" w:color="auto"/>
        <w:right w:val="none" w:sz="0" w:space="0" w:color="auto"/>
      </w:divBdr>
      <w:divsChild>
        <w:div w:id="1902251616">
          <w:marLeft w:val="0"/>
          <w:marRight w:val="0"/>
          <w:marTop w:val="0"/>
          <w:marBottom w:val="300"/>
          <w:divBdr>
            <w:top w:val="none" w:sz="0" w:space="0" w:color="auto"/>
            <w:left w:val="none" w:sz="0" w:space="0" w:color="auto"/>
            <w:bottom w:val="none" w:sz="0" w:space="0" w:color="auto"/>
            <w:right w:val="none" w:sz="0" w:space="0" w:color="auto"/>
          </w:divBdr>
        </w:div>
        <w:div w:id="1384601930">
          <w:marLeft w:val="0"/>
          <w:marRight w:val="0"/>
          <w:marTop w:val="0"/>
          <w:marBottom w:val="300"/>
          <w:divBdr>
            <w:top w:val="none" w:sz="0" w:space="0" w:color="auto"/>
            <w:left w:val="none" w:sz="0" w:space="0" w:color="auto"/>
            <w:bottom w:val="none" w:sz="0" w:space="0" w:color="auto"/>
            <w:right w:val="none" w:sz="0" w:space="0" w:color="auto"/>
          </w:divBdr>
        </w:div>
        <w:div w:id="1091469285">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5138</Words>
  <Characters>29291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2021-01-26T11:36:00Z</dcterms:created>
  <dcterms:modified xsi:type="dcterms:W3CDTF">2021-01-26T12:42:00Z</dcterms:modified>
</cp:coreProperties>
</file>